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82" w:rsidRPr="00556824" w:rsidRDefault="00E27B82" w:rsidP="00E27B82">
      <w:pPr>
        <w:jc w:val="center"/>
        <w:rPr>
          <w:b/>
          <w:bCs/>
          <w:lang w:val="sr-Cyrl-CS"/>
        </w:rPr>
      </w:pPr>
      <w:r w:rsidRPr="00556824">
        <w:rPr>
          <w:b/>
          <w:bCs/>
          <w:lang w:val="sr-Cyrl-CS"/>
        </w:rPr>
        <w:t>А Н А Л И З А</w:t>
      </w:r>
    </w:p>
    <w:p w:rsidR="00E27B82" w:rsidRDefault="00E27B82" w:rsidP="00E27B82">
      <w:pPr>
        <w:jc w:val="center"/>
        <w:rPr>
          <w:b/>
          <w:bCs/>
        </w:rPr>
      </w:pPr>
      <w:r w:rsidRPr="00556824">
        <w:rPr>
          <w:b/>
          <w:bCs/>
          <w:lang w:val="sr-Cyrl-CS"/>
        </w:rPr>
        <w:t>РАЗУЛ</w:t>
      </w:r>
      <w:r>
        <w:rPr>
          <w:b/>
          <w:bCs/>
          <w:lang w:val="sr-Cyrl-CS"/>
        </w:rPr>
        <w:t>ТАТА АНКЕТИРАЊА</w:t>
      </w:r>
      <w:r w:rsidRPr="00556824">
        <w:rPr>
          <w:b/>
          <w:bCs/>
          <w:lang w:val="ru-RU"/>
        </w:rPr>
        <w:t xml:space="preserve"> </w:t>
      </w:r>
      <w:r w:rsidR="00C77089">
        <w:rPr>
          <w:b/>
          <w:bCs/>
          <w:lang w:val="sr-Cyrl-CS"/>
        </w:rPr>
        <w:t>У 20</w:t>
      </w:r>
      <w:r w:rsidR="00C77089">
        <w:rPr>
          <w:b/>
          <w:bCs/>
        </w:rPr>
        <w:t>20</w:t>
      </w:r>
      <w:r w:rsidRPr="00556824">
        <w:rPr>
          <w:b/>
          <w:bCs/>
          <w:lang w:val="sr-Cyrl-CS"/>
        </w:rPr>
        <w:t>. ГОДИНИ</w:t>
      </w:r>
      <w:r>
        <w:rPr>
          <w:b/>
          <w:bCs/>
          <w:lang w:val="sr-Cyrl-CS"/>
        </w:rPr>
        <w:t xml:space="preserve"> О ЗАДОВОЉСТВУ КОРИСНИКА </w:t>
      </w:r>
    </w:p>
    <w:p w:rsidR="00E27B82" w:rsidRDefault="00E27B82" w:rsidP="00E27B8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УСЛУГА</w:t>
      </w:r>
    </w:p>
    <w:p w:rsidR="00E27B82" w:rsidRDefault="00E27B82" w:rsidP="00E27B82">
      <w:pPr>
        <w:jc w:val="center"/>
        <w:rPr>
          <w:b/>
          <w:bCs/>
        </w:rPr>
      </w:pPr>
    </w:p>
    <w:p w:rsidR="00E27B82" w:rsidRDefault="00E27B82" w:rsidP="00E27B82">
      <w:pPr>
        <w:jc w:val="center"/>
        <w:rPr>
          <w:b/>
          <w:bCs/>
        </w:rPr>
      </w:pPr>
    </w:p>
    <w:p w:rsidR="00E27B82" w:rsidRPr="00556824" w:rsidRDefault="00E27B82" w:rsidP="00E27B82">
      <w:pPr>
        <w:jc w:val="both"/>
        <w:rPr>
          <w:lang w:val="sr-Cyrl-CS"/>
        </w:rPr>
      </w:pPr>
      <w:r w:rsidRPr="00AA3FB2">
        <w:rPr>
          <w:lang w:val="ru-RU"/>
        </w:rPr>
        <w:tab/>
      </w:r>
      <w:r>
        <w:rPr>
          <w:lang w:val="sr-Cyrl-CS"/>
        </w:rPr>
        <w:t xml:space="preserve">У континуираном процесу испитивања задовољства корисника услуга (са пресјеком до </w:t>
      </w:r>
      <w:r>
        <w:rPr>
          <w:lang w:val="sr-Cyrl-BA"/>
        </w:rPr>
        <w:t>31</w:t>
      </w:r>
      <w:r w:rsidR="00C77089">
        <w:rPr>
          <w:lang w:val="sr-Cyrl-CS"/>
        </w:rPr>
        <w:t>. октобар 20</w:t>
      </w:r>
      <w:r w:rsidR="00C77089">
        <w:t>20</w:t>
      </w:r>
      <w:r>
        <w:rPr>
          <w:lang w:val="sr-Cyrl-CS"/>
        </w:rPr>
        <w:t>. год</w:t>
      </w:r>
      <w:r w:rsidR="00C77089">
        <w:rPr>
          <w:lang w:val="sr-Cyrl-CS"/>
        </w:rPr>
        <w:t xml:space="preserve">ине), извршено је анкетирање </w:t>
      </w:r>
      <w:r w:rsidR="00C77089">
        <w:t>148</w:t>
      </w:r>
      <w:r>
        <w:rPr>
          <w:lang w:val="sr-Cyrl-CS"/>
        </w:rPr>
        <w:t xml:space="preserve"> грађана, корисника услуга Градске управе Града.</w:t>
      </w:r>
    </w:p>
    <w:p w:rsidR="00E27B82" w:rsidRDefault="00E27B82" w:rsidP="00E27B82">
      <w:pPr>
        <w:jc w:val="both"/>
        <w:rPr>
          <w:lang w:val="sr-Cyrl-CS"/>
        </w:rPr>
      </w:pPr>
      <w:r w:rsidRPr="00AA3FB2">
        <w:rPr>
          <w:lang w:val="ru-RU"/>
        </w:rPr>
        <w:tab/>
      </w:r>
      <w:r>
        <w:rPr>
          <w:lang w:val="sr-Cyrl-CS"/>
        </w:rPr>
        <w:t>Циљ анкетирања корисника услуга је да руководство Града Бијељина види колико су грађани као корисници услуга задовољни радом и организацијом Градске управе Града и радом и начином одлучивања у Скупштини Града.</w:t>
      </w: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Анкетирање корисника услуга организује Одбор за квалитет и вршено је у Градској управи путем анкетних листова који су дистрибуирани путем шалтер-сале, других шалтера у матичној служби и путем инфо-пулта.</w:t>
      </w:r>
    </w:p>
    <w:p w:rsidR="00E27B82" w:rsidRDefault="00E27B82" w:rsidP="00E27B82">
      <w:pPr>
        <w:ind w:firstLine="720"/>
        <w:jc w:val="both"/>
        <w:rPr>
          <w:lang w:val="sr-Cyrl-CS"/>
        </w:rPr>
      </w:pPr>
      <w:r w:rsidRPr="00152D2F">
        <w:rPr>
          <w:b/>
          <w:bCs/>
          <w:lang w:val="sr-Cyrl-CS"/>
        </w:rPr>
        <w:t>1</w:t>
      </w:r>
      <w:r>
        <w:rPr>
          <w:b/>
          <w:bCs/>
          <w:lang w:val="sr-Cyrl-CS"/>
        </w:rPr>
        <w:t>.</w:t>
      </w:r>
      <w:r>
        <w:rPr>
          <w:lang w:val="sr-Cyrl-CS"/>
        </w:rPr>
        <w:t xml:space="preserve"> </w:t>
      </w:r>
      <w:r w:rsidRPr="00152D2F">
        <w:rPr>
          <w:b/>
          <w:bCs/>
          <w:lang w:val="sr-Cyrl-CS"/>
        </w:rPr>
        <w:t>Рез</w:t>
      </w:r>
      <w:r>
        <w:rPr>
          <w:b/>
          <w:bCs/>
          <w:lang w:val="sr-Cyrl-CS"/>
        </w:rPr>
        <w:t>ултати а</w:t>
      </w:r>
      <w:r w:rsidR="00C77089">
        <w:rPr>
          <w:b/>
          <w:bCs/>
          <w:lang w:val="sr-Cyrl-CS"/>
        </w:rPr>
        <w:t>нкетирања корисника услуга у 20</w:t>
      </w:r>
      <w:r w:rsidR="00C77089">
        <w:rPr>
          <w:b/>
          <w:bCs/>
        </w:rPr>
        <w:t>20</w:t>
      </w:r>
      <w:r w:rsidRPr="00152D2F">
        <w:rPr>
          <w:b/>
          <w:bCs/>
          <w:lang w:val="sr-Cyrl-CS"/>
        </w:rPr>
        <w:t>. годину</w:t>
      </w:r>
      <w:r>
        <w:rPr>
          <w:lang w:val="sr-Cyrl-CS"/>
        </w:rPr>
        <w:t xml:space="preserve"> су видљиви из следеће табеле:</w:t>
      </w:r>
    </w:p>
    <w:p w:rsidR="00E27B82" w:rsidRPr="000B78A0" w:rsidRDefault="00E27B82" w:rsidP="00E27B82">
      <w:pPr>
        <w:ind w:firstLine="720"/>
        <w:jc w:val="both"/>
        <w:rPr>
          <w:lang w:val="sr-Cyrl-CS"/>
        </w:rPr>
      </w:pPr>
    </w:p>
    <w:p w:rsidR="00E27B82" w:rsidRDefault="00C77089" w:rsidP="00E27B82">
      <w:pPr>
        <w:jc w:val="both"/>
        <w:rPr>
          <w:b/>
          <w:bCs/>
          <w:i/>
        </w:rPr>
      </w:pPr>
      <w:r>
        <w:rPr>
          <w:b/>
          <w:bCs/>
          <w:i/>
        </w:rPr>
        <w:tab/>
      </w:r>
      <w:r w:rsidR="00E27B82" w:rsidRPr="00E2403F">
        <w:rPr>
          <w:b/>
          <w:bCs/>
          <w:i/>
          <w:lang w:val="sr-Cyrl-CS"/>
        </w:rPr>
        <w:t xml:space="preserve">Табела 1: Структура одговора анкетираних корисника услуга </w:t>
      </w:r>
      <w:r>
        <w:rPr>
          <w:b/>
          <w:bCs/>
          <w:i/>
          <w:lang w:val="sr-Cyrl-CS"/>
        </w:rPr>
        <w:t>у 20</w:t>
      </w:r>
      <w:r>
        <w:rPr>
          <w:b/>
          <w:bCs/>
          <w:i/>
        </w:rPr>
        <w:t>20</w:t>
      </w:r>
      <w:r w:rsidR="00E27B82">
        <w:rPr>
          <w:b/>
          <w:bCs/>
          <w:i/>
          <w:lang w:val="sr-Cyrl-CS"/>
        </w:rPr>
        <w:t>. години</w:t>
      </w:r>
    </w:p>
    <w:p w:rsidR="00C77089" w:rsidRPr="00C77089" w:rsidRDefault="00C77089" w:rsidP="00E27B82">
      <w:pPr>
        <w:jc w:val="both"/>
        <w:rPr>
          <w:b/>
          <w:bCs/>
          <w:i/>
        </w:rPr>
      </w:pPr>
    </w:p>
    <w:tbl>
      <w:tblPr>
        <w:tblW w:w="10208" w:type="dxa"/>
        <w:tblInd w:w="-10" w:type="dxa"/>
        <w:tblLayout w:type="fixed"/>
        <w:tblLook w:val="0000"/>
      </w:tblPr>
      <w:tblGrid>
        <w:gridCol w:w="647"/>
        <w:gridCol w:w="5859"/>
        <w:gridCol w:w="1258"/>
        <w:gridCol w:w="1308"/>
        <w:gridCol w:w="1136"/>
      </w:tblGrid>
      <w:tr w:rsidR="00C77089" w:rsidRPr="000B4314" w:rsidTr="000600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П и т а њ 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Углавном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ED38B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сте задовољни услугом Градске управе?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C77089" w:rsidRPr="00ED38B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(96,62%)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(2,70%)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(0,68%)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особље Градске управе љубазно?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(97,30%)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(2,03)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(0,68%)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добијате брзо и ефикасно одговрајућу услугу, без беспотребног чекања?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(89,86%)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(8,78%)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(1,35%)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руководство и запослени у службама Гр</w:t>
            </w:r>
            <w:r w:rsidRPr="000B4314">
              <w:rPr>
                <w:rFonts w:ascii="Times New Roman" w:hAnsi="Times New Roman"/>
                <w:sz w:val="24"/>
                <w:szCs w:val="24"/>
              </w:rPr>
              <w:t>a</w:t>
            </w: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одговорно обављају свој посао?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(87,84%)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(10,14%)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(2,03%)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ли, по Вашем мишљењу, у Градској управи раде квалифковани кадрови?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(89,19%)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(10,14%)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(0,68%)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сте задовољни радом Скупштине Града и њиховим планирањем развоја заједнице?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(87,84%)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(10,81%)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(1,35%)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грађани учествују у процесу доношења одлука? Да ли се води рачуна о предлозима грађана?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(89,19%)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(8,11%)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(2,70%)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добра комунакација локалне власти и грађана?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(82,43%)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(10,81%)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(6,76%)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сте учествовали на јавним скуповима, расправама и трибинама?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(83,11%)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(16,89%)</w:t>
            </w:r>
          </w:p>
        </w:tc>
      </w:tr>
      <w:tr w:rsidR="00C77089" w:rsidRPr="000B4314" w:rsidTr="00060057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ED38BA" w:rsidRDefault="00C77089" w:rsidP="000600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38BA">
              <w:rPr>
                <w:rFonts w:ascii="Times New Roman" w:hAnsi="Times New Roman"/>
                <w:sz w:val="24"/>
                <w:szCs w:val="24"/>
                <w:lang w:val="sr-Cyrl-CS"/>
              </w:rPr>
              <w:t>Да ли је, по Вашем мишљењу, Градска управа добро и ефикасно организована?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(79,73%)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(10,14%)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89" w:rsidRPr="00C5740F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7089" w:rsidRPr="00CD58AA" w:rsidRDefault="00C77089" w:rsidP="00C770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(10,14%)</w:t>
            </w:r>
          </w:p>
        </w:tc>
      </w:tr>
    </w:tbl>
    <w:p w:rsidR="00E27B82" w:rsidRDefault="00E27B82" w:rsidP="00E27B82">
      <w:pPr>
        <w:jc w:val="both"/>
        <w:rPr>
          <w:b/>
          <w:bCs/>
          <w:i/>
          <w:lang w:val="sr-Cyrl-CS"/>
        </w:rPr>
      </w:pPr>
    </w:p>
    <w:p w:rsidR="00E27B82" w:rsidRDefault="00E27B82" w:rsidP="00E27B82">
      <w:pPr>
        <w:jc w:val="both"/>
        <w:rPr>
          <w:b/>
          <w:bCs/>
          <w:i/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Имајући у виду одговоре на питања из анкетних листова можемо констатовати да су анкетирани корисници услуга: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задовољни радо</w:t>
      </w:r>
      <w:r w:rsidR="00C77089">
        <w:rPr>
          <w:lang w:val="sr-Cyrl-CS"/>
        </w:rPr>
        <w:t>м Градске управе јер се скоро 9</w:t>
      </w:r>
      <w:r w:rsidR="00C77089">
        <w:t>7</w:t>
      </w:r>
      <w:r w:rsidR="00C77089">
        <w:rPr>
          <w:lang w:val="sr-Cyrl-CS"/>
        </w:rPr>
        <w:t xml:space="preserve">% изјаснило потврдно (нешто </w:t>
      </w:r>
      <w:r w:rsidR="00C77089">
        <w:t>виш</w:t>
      </w:r>
      <w:r w:rsidR="00C77089">
        <w:rPr>
          <w:lang w:val="sr-Cyrl-CS"/>
        </w:rPr>
        <w:t>и  проценат у односу на 2019. годину, 93</w:t>
      </w:r>
      <w:r>
        <w:rPr>
          <w:lang w:val="sr-Cyrl-CS"/>
        </w:rPr>
        <w:t>%),  око 3% изјаснило углавном задовољно,</w:t>
      </w:r>
      <w:r w:rsidR="0045016C">
        <w:rPr>
          <w:lang w:val="sr-Cyrl-CS"/>
        </w:rPr>
        <w:t xml:space="preserve"> а незадовољних је скоро занемарљиво (0,68</w:t>
      </w:r>
      <w:r>
        <w:rPr>
          <w:lang w:val="sr-Cyrl-CS"/>
        </w:rPr>
        <w:t>%</w:t>
      </w:r>
      <w:r w:rsidR="0045016C">
        <w:rPr>
          <w:lang w:val="sr-Cyrl-CS"/>
        </w:rPr>
        <w:t>)</w:t>
      </w:r>
      <w:r>
        <w:rPr>
          <w:lang w:val="sr-Cyrl-CS"/>
        </w:rPr>
        <w:t xml:space="preserve">. Ови подаци показују </w:t>
      </w:r>
      <w:r w:rsidR="0045016C">
        <w:rPr>
          <w:lang w:val="sr-Cyrl-CS"/>
        </w:rPr>
        <w:t>примјетно</w:t>
      </w:r>
      <w:r>
        <w:rPr>
          <w:lang w:val="sr-Cyrl-CS"/>
        </w:rPr>
        <w:t xml:space="preserve"> </w:t>
      </w:r>
      <w:r w:rsidR="0045016C">
        <w:rPr>
          <w:lang w:val="sr-Cyrl-CS"/>
        </w:rPr>
        <w:t>повећање</w:t>
      </w:r>
      <w:r>
        <w:rPr>
          <w:lang w:val="sr-Cyrl-CS"/>
        </w:rPr>
        <w:t xml:space="preserve"> експлицитног задовољства у односу на претходни период и  </w:t>
      </w:r>
      <w:r w:rsidR="0045016C">
        <w:rPr>
          <w:lang w:val="sr-Cyrl-CS"/>
        </w:rPr>
        <w:t xml:space="preserve">знатно </w:t>
      </w:r>
      <w:r>
        <w:rPr>
          <w:lang w:val="sr-Cyrl-CS"/>
        </w:rPr>
        <w:t xml:space="preserve">смањење  </w:t>
      </w:r>
      <w:r w:rsidR="0045016C">
        <w:rPr>
          <w:lang w:val="sr-Cyrl-CS"/>
        </w:rPr>
        <w:t xml:space="preserve">процента незадовољних на мање од 1 </w:t>
      </w:r>
      <w:r>
        <w:rPr>
          <w:lang w:val="sr-Cyrl-CS"/>
        </w:rPr>
        <w:t>%</w:t>
      </w:r>
      <w:r w:rsidR="0045016C">
        <w:rPr>
          <w:lang w:val="sr-Cyrl-CS"/>
        </w:rPr>
        <w:t xml:space="preserve"> (у односу на 3,63% у 2019. години)</w:t>
      </w:r>
      <w:r>
        <w:rPr>
          <w:lang w:val="sr-Cyrl-CS"/>
        </w:rPr>
        <w:t>;</w:t>
      </w:r>
    </w:p>
    <w:p w:rsidR="00E27B82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 w:rsidRPr="005E13B1">
        <w:rPr>
          <w:lang w:val="sr-Cyrl-CS"/>
        </w:rPr>
        <w:t>да је особље Градске упра</w:t>
      </w:r>
      <w:r w:rsidR="00F14D73">
        <w:rPr>
          <w:lang w:val="sr-Cyrl-CS"/>
        </w:rPr>
        <w:t xml:space="preserve">ве љубазно потврдило је </w:t>
      </w:r>
      <w:r w:rsidR="00F14D73">
        <w:rPr>
          <w:lang/>
        </w:rPr>
        <w:t>преко</w:t>
      </w:r>
      <w:r w:rsidR="00F14D73">
        <w:rPr>
          <w:lang w:val="sr-Cyrl-CS"/>
        </w:rPr>
        <w:t xml:space="preserve"> 97</w:t>
      </w:r>
      <w:r>
        <w:rPr>
          <w:lang w:val="sr-Cyrl-CS"/>
        </w:rPr>
        <w:t>% анкетираних корисника (</w:t>
      </w:r>
      <w:r w:rsidR="00F14D73">
        <w:rPr>
          <w:lang w:val="sr-Cyrl-CS"/>
        </w:rPr>
        <w:t>за шест процената више</w:t>
      </w:r>
      <w:r w:rsidRPr="005E13B1">
        <w:rPr>
          <w:lang w:val="sr-Cyrl-CS"/>
        </w:rPr>
        <w:t xml:space="preserve"> у односу на претходну годину</w:t>
      </w:r>
      <w:r w:rsidR="00F14D73">
        <w:rPr>
          <w:lang w:val="sr-Cyrl-CS"/>
        </w:rPr>
        <w:t>), око 2</w:t>
      </w:r>
      <w:r w:rsidRPr="005E13B1">
        <w:rPr>
          <w:lang w:val="sr-Cyrl-CS"/>
        </w:rPr>
        <w:t xml:space="preserve">% сматра да је особље углавном љубазно </w:t>
      </w:r>
      <w:r w:rsidR="00F14D73">
        <w:rPr>
          <w:lang w:val="sr-Cyrl-CS"/>
        </w:rPr>
        <w:t xml:space="preserve"> (смањење  за око 1,5</w:t>
      </w:r>
      <w:r w:rsidRPr="005E13B1">
        <w:rPr>
          <w:lang w:val="sr-Cyrl-CS"/>
        </w:rPr>
        <w:t>% у одн</w:t>
      </w:r>
      <w:r w:rsidR="00F14D73">
        <w:rPr>
          <w:lang w:val="sr-Cyrl-CS"/>
        </w:rPr>
        <w:t xml:space="preserve">осу на претходну годину) а  мање од 1% </w:t>
      </w:r>
      <w:r w:rsidRPr="005E13B1">
        <w:rPr>
          <w:lang w:val="sr-Cyrl-CS"/>
        </w:rPr>
        <w:t xml:space="preserve"> се негативно изјаснило</w:t>
      </w:r>
      <w:r w:rsidR="00F14D73">
        <w:rPr>
          <w:lang w:val="sr-Cyrl-CS"/>
        </w:rPr>
        <w:t xml:space="preserve"> (смањење</w:t>
      </w:r>
      <w:r>
        <w:rPr>
          <w:lang w:val="sr-Cyrl-CS"/>
        </w:rPr>
        <w:t xml:space="preserve"> за </w:t>
      </w:r>
      <w:r w:rsidR="00F14D73">
        <w:rPr>
          <w:lang w:val="sr-Cyrl-CS"/>
        </w:rPr>
        <w:t xml:space="preserve">преко </w:t>
      </w:r>
      <w:r>
        <w:rPr>
          <w:lang w:val="sr-Cyrl-CS"/>
        </w:rPr>
        <w:t>2% него у претходној години</w:t>
      </w:r>
      <w:r w:rsidR="00F14D73">
        <w:rPr>
          <w:lang w:val="sr-Cyrl-CS"/>
        </w:rPr>
        <w:t xml:space="preserve"> када је било 3,63%</w:t>
      </w:r>
      <w:r w:rsidRPr="005E13B1">
        <w:rPr>
          <w:lang w:val="sr-Cyrl-CS"/>
        </w:rPr>
        <w:t xml:space="preserve">);  </w:t>
      </w:r>
    </w:p>
    <w:p w:rsidR="00E27B82" w:rsidRPr="005E13B1" w:rsidRDefault="00F14D73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скоро 90</w:t>
      </w:r>
      <w:r w:rsidR="00E27B82" w:rsidRPr="005E13B1">
        <w:rPr>
          <w:lang w:val="sr-Cyrl-CS"/>
        </w:rPr>
        <w:t>% анкетираних корисника изјаснило се да услуге у Градској управи доб</w:t>
      </w:r>
      <w:r>
        <w:rPr>
          <w:lang w:val="sr-Cyrl-CS"/>
        </w:rPr>
        <w:t>ијају брзо и ефикасно (повећање</w:t>
      </w:r>
      <w:r w:rsidR="00E27B82">
        <w:rPr>
          <w:lang w:val="sr-Cyrl-CS"/>
        </w:rPr>
        <w:t xml:space="preserve"> </w:t>
      </w:r>
      <w:r w:rsidR="00E27B82" w:rsidRPr="005E13B1">
        <w:rPr>
          <w:lang w:val="sr-Cyrl-CS"/>
        </w:rPr>
        <w:t xml:space="preserve">у односу на </w:t>
      </w:r>
      <w:r>
        <w:rPr>
          <w:lang w:val="sr-Cyrl-CS"/>
        </w:rPr>
        <w:t>претходну годину, за око 7%), око 9</w:t>
      </w:r>
      <w:r w:rsidR="00E27B82" w:rsidRPr="005E13B1">
        <w:rPr>
          <w:lang w:val="sr-Cyrl-CS"/>
        </w:rPr>
        <w:t>% изјаснило се да углавном добија брзо и ефикасно услуге</w:t>
      </w:r>
      <w:r>
        <w:rPr>
          <w:lang w:val="sr-Cyrl-CS"/>
        </w:rPr>
        <w:t xml:space="preserve"> (смањење  за око 2</w:t>
      </w:r>
      <w:r w:rsidR="00E27B82">
        <w:rPr>
          <w:lang w:val="sr-Cyrl-CS"/>
        </w:rPr>
        <w:t xml:space="preserve">% у </w:t>
      </w:r>
      <w:r>
        <w:rPr>
          <w:lang w:val="sr-Cyrl-CS"/>
        </w:rPr>
        <w:t>односу на претходну годину), а амње од 1,5</w:t>
      </w:r>
      <w:r w:rsidR="00E27B82">
        <w:rPr>
          <w:lang w:val="sr-Cyrl-CS"/>
        </w:rPr>
        <w:t>%</w:t>
      </w:r>
      <w:r w:rsidR="00E27B82" w:rsidRPr="005E13B1">
        <w:rPr>
          <w:lang w:val="sr-Cyrl-CS"/>
        </w:rPr>
        <w:t xml:space="preserve"> се изјаснило не</w:t>
      </w:r>
      <w:r w:rsidR="00E27B82">
        <w:rPr>
          <w:lang w:val="sr-Cyrl-CS"/>
        </w:rPr>
        <w:t xml:space="preserve">гативно, што је </w:t>
      </w:r>
      <w:r>
        <w:rPr>
          <w:lang w:val="sr-Cyrl-CS"/>
        </w:rPr>
        <w:t>смањење за око 3,5</w:t>
      </w:r>
      <w:r w:rsidR="00E27B82">
        <w:rPr>
          <w:lang w:val="sr-Cyrl-CS"/>
        </w:rPr>
        <w:t xml:space="preserve">% </w:t>
      </w:r>
      <w:r w:rsidR="00E27B82" w:rsidRPr="005E13B1">
        <w:rPr>
          <w:lang w:val="sr-Cyrl-CS"/>
        </w:rPr>
        <w:t>у односу</w:t>
      </w:r>
      <w:r w:rsidR="00E27B82">
        <w:rPr>
          <w:lang w:val="sr-Cyrl-CS"/>
        </w:rPr>
        <w:t xml:space="preserve"> на претходну годину</w:t>
      </w:r>
      <w:r w:rsidR="00E27B82" w:rsidRPr="005E13B1">
        <w:rPr>
          <w:lang w:val="sr-Cyrl-CS"/>
        </w:rPr>
        <w:t>;</w:t>
      </w:r>
    </w:p>
    <w:p w:rsidR="00E27B82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руководство и радници Градске управе одговорно обављају посао сматра </w:t>
      </w:r>
      <w:r w:rsidR="00F14D73">
        <w:rPr>
          <w:lang w:val="sr-Cyrl-CS"/>
        </w:rPr>
        <w:t>скоро 89</w:t>
      </w:r>
      <w:r>
        <w:rPr>
          <w:lang w:val="sr-Cyrl-CS"/>
        </w:rPr>
        <w:t>% анкетираних корисника (повећање у однос</w:t>
      </w:r>
      <w:r w:rsidR="00F14D73">
        <w:rPr>
          <w:lang w:val="sr-Cyrl-CS"/>
        </w:rPr>
        <w:t>у на претходну годину за око 8,5% ), око 10</w:t>
      </w:r>
      <w:r>
        <w:rPr>
          <w:lang w:val="sr-Cyrl-CS"/>
        </w:rPr>
        <w:t>% сматра да углавно</w:t>
      </w:r>
      <w:r w:rsidR="00F14D73">
        <w:rPr>
          <w:lang w:val="sr-Cyrl-CS"/>
        </w:rPr>
        <w:t>м су одговорни (смањење за око 3,5%) а 2</w:t>
      </w:r>
      <w:r>
        <w:rPr>
          <w:lang w:val="sr-Cyrl-CS"/>
        </w:rPr>
        <w:t>% је незадовољно одговорношћу руководства и запослених, што је</w:t>
      </w:r>
      <w:r w:rsidR="00F14D73">
        <w:rPr>
          <w:lang w:val="sr-Cyrl-CS"/>
        </w:rPr>
        <w:t xml:space="preserve"> смањење</w:t>
      </w:r>
      <w:r>
        <w:rPr>
          <w:lang w:val="sr-Cyrl-CS"/>
        </w:rPr>
        <w:t xml:space="preserve">  у одн</w:t>
      </w:r>
      <w:r w:rsidR="00F14D73">
        <w:rPr>
          <w:lang w:val="sr-Cyrl-CS"/>
        </w:rPr>
        <w:t>осу на претходну годину за око 3</w:t>
      </w:r>
      <w:r>
        <w:rPr>
          <w:lang w:val="sr-Cyrl-CS"/>
        </w:rPr>
        <w:t>%;</w:t>
      </w:r>
    </w:p>
    <w:p w:rsidR="00E27B82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у Градској управи раде квалификовани кадр</w:t>
      </w:r>
      <w:r w:rsidR="00F14D73">
        <w:rPr>
          <w:lang w:val="sr-Cyrl-CS"/>
        </w:rPr>
        <w:t>ови мишљења је преко 89% анкетираних корисника (повећање за око 9</w:t>
      </w:r>
      <w:r>
        <w:rPr>
          <w:lang w:val="sr-Cyrl-CS"/>
        </w:rPr>
        <w:t>% у одн</w:t>
      </w:r>
      <w:r w:rsidR="00335849">
        <w:rPr>
          <w:lang w:val="sr-Cyrl-CS"/>
        </w:rPr>
        <w:t>осу на претходну годину), око 10</w:t>
      </w:r>
      <w:r>
        <w:rPr>
          <w:lang w:val="sr-Cyrl-CS"/>
        </w:rPr>
        <w:t>% сматра да су углавном</w:t>
      </w:r>
      <w:r w:rsidR="00335849">
        <w:rPr>
          <w:lang w:val="sr-Cyrl-CS"/>
        </w:rPr>
        <w:t xml:space="preserve"> квалификовани кадрови (смањење за око 9%), а мање од 1</w:t>
      </w:r>
      <w:r>
        <w:rPr>
          <w:lang w:val="sr-Cyrl-CS"/>
        </w:rPr>
        <w:t>% сматра да су неквалификовани кад</w:t>
      </w:r>
      <w:r w:rsidR="00335849">
        <w:rPr>
          <w:lang w:val="sr-Cyrl-CS"/>
        </w:rPr>
        <w:t>рови у Градској управи (смањење</w:t>
      </w:r>
      <w:r>
        <w:rPr>
          <w:lang w:val="sr-Cyrl-CS"/>
        </w:rPr>
        <w:t xml:space="preserve"> за око 3,5%), што све заједно показује </w:t>
      </w:r>
      <w:r w:rsidR="00335849">
        <w:rPr>
          <w:lang w:val="sr-Cyrl-CS"/>
        </w:rPr>
        <w:t>примјетно већи</w:t>
      </w:r>
      <w:r>
        <w:rPr>
          <w:lang w:val="sr-Cyrl-CS"/>
        </w:rPr>
        <w:t xml:space="preserve"> проценат изричитог задовољства односно </w:t>
      </w:r>
      <w:r w:rsidR="00335849">
        <w:rPr>
          <w:lang w:val="sr-Cyrl-CS"/>
        </w:rPr>
        <w:t xml:space="preserve">смањење незадовољства и </w:t>
      </w:r>
      <w:r>
        <w:rPr>
          <w:lang w:val="sr-Cyrl-CS"/>
        </w:rPr>
        <w:t xml:space="preserve"> средњег одговора ("углавном");</w:t>
      </w:r>
    </w:p>
    <w:p w:rsidR="00E27B82" w:rsidRDefault="00773095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око 88</w:t>
      </w:r>
      <w:r w:rsidR="00E27B82">
        <w:rPr>
          <w:lang w:val="sr-Cyrl-CS"/>
        </w:rPr>
        <w:t xml:space="preserve">% је задовољно радом Скупштине Града и </w:t>
      </w:r>
      <w:r>
        <w:rPr>
          <w:lang w:val="sr-Cyrl-CS"/>
        </w:rPr>
        <w:t>планирању развоја заједнице (примјетно повећање  у односу на око 80</w:t>
      </w:r>
      <w:r w:rsidR="00E27B82">
        <w:rPr>
          <w:lang w:val="sr-Cyrl-CS"/>
        </w:rPr>
        <w:t>% колико је износ</w:t>
      </w:r>
      <w:r>
        <w:rPr>
          <w:lang w:val="sr-Cyrl-CS"/>
        </w:rPr>
        <w:t>ило у претходној години), око 11</w:t>
      </w:r>
      <w:r w:rsidR="00E27B82">
        <w:rPr>
          <w:lang w:val="sr-Cyrl-CS"/>
        </w:rPr>
        <w:t>% углавном је задовољно (</w:t>
      </w:r>
      <w:r>
        <w:rPr>
          <w:lang w:val="sr-Cyrl-CS"/>
        </w:rPr>
        <w:t>не</w:t>
      </w:r>
      <w:r w:rsidR="00E27B82">
        <w:rPr>
          <w:lang w:val="sr-Cyrl-CS"/>
        </w:rPr>
        <w:t>знатно смањење  у односу на претходн</w:t>
      </w:r>
      <w:r>
        <w:rPr>
          <w:lang w:val="sr-Cyrl-CS"/>
        </w:rPr>
        <w:t>и переиод када је износило око 13%), а мање од  1,5% је незадовољно (смањење за око 5</w:t>
      </w:r>
      <w:r w:rsidR="00E27B82">
        <w:rPr>
          <w:lang w:val="sr-Cyrl-CS"/>
        </w:rPr>
        <w:t>% у односу на претходни период);</w:t>
      </w:r>
    </w:p>
    <w:p w:rsidR="00E27B82" w:rsidRDefault="000F0F6D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преко 89</w:t>
      </w:r>
      <w:r w:rsidR="00E27B82" w:rsidRPr="00471FDA">
        <w:rPr>
          <w:lang w:val="sr-Cyrl-CS"/>
        </w:rPr>
        <w:t xml:space="preserve"> % анкетираних корисника учествује у доношењу одлука и мишљења је да се води рачуна о предлозима грађана (</w:t>
      </w:r>
      <w:r>
        <w:rPr>
          <w:lang w:val="sr-Cyrl-CS"/>
        </w:rPr>
        <w:t>повећање у односу на 82% у претходној години), око 8% углавном (смањење односу на 12</w:t>
      </w:r>
      <w:r w:rsidR="00E27B82" w:rsidRPr="00471FDA">
        <w:rPr>
          <w:lang w:val="sr-Cyrl-CS"/>
        </w:rPr>
        <w:t xml:space="preserve">% у претохдној години), а </w:t>
      </w:r>
      <w:r>
        <w:rPr>
          <w:lang w:val="sr-Cyrl-CS"/>
        </w:rPr>
        <w:t xml:space="preserve"> нешто мање од 3</w:t>
      </w:r>
      <w:r w:rsidR="00E27B82" w:rsidRPr="00471FDA">
        <w:rPr>
          <w:lang w:val="sr-Cyrl-CS"/>
        </w:rPr>
        <w:t>% не учествује доношењу одлука и мишљење да се не</w:t>
      </w:r>
      <w:r>
        <w:rPr>
          <w:lang w:val="sr-Cyrl-CS"/>
        </w:rPr>
        <w:t xml:space="preserve"> </w:t>
      </w:r>
      <w:r w:rsidR="00E27B82" w:rsidRPr="00471FDA">
        <w:rPr>
          <w:lang w:val="sr-Cyrl-CS"/>
        </w:rPr>
        <w:t>води рачуна о предлозима грађана (</w:t>
      </w:r>
      <w:r>
        <w:rPr>
          <w:lang w:val="sr-Cyrl-CS"/>
        </w:rPr>
        <w:t>смањење у односу на претходну годину када је износили око 5,0</w:t>
      </w:r>
      <w:r w:rsidR="00E27B82">
        <w:rPr>
          <w:lang w:val="sr-Cyrl-CS"/>
        </w:rPr>
        <w:t>%</w:t>
      </w:r>
      <w:r w:rsidR="00E27B82" w:rsidRPr="00471FDA">
        <w:rPr>
          <w:lang w:val="sr-Cyrl-CS"/>
        </w:rPr>
        <w:t xml:space="preserve">). Из ових података даје се основ за закључак о </w:t>
      </w:r>
      <w:r w:rsidR="00E27B82">
        <w:rPr>
          <w:lang w:val="sr-Cyrl-CS"/>
        </w:rPr>
        <w:t xml:space="preserve">значајнијем континуираном повећању активности, учешћа грађана </w:t>
      </w:r>
      <w:r w:rsidR="00E27B82" w:rsidRPr="00471FDA">
        <w:rPr>
          <w:lang w:val="sr-Cyrl-CS"/>
        </w:rPr>
        <w:t xml:space="preserve"> у</w:t>
      </w:r>
      <w:r w:rsidR="00E27B82">
        <w:rPr>
          <w:lang w:val="sr-Cyrl-CS"/>
        </w:rPr>
        <w:t xml:space="preserve"> јавном животу односно у</w:t>
      </w:r>
      <w:r w:rsidR="00E27B82" w:rsidRPr="00471FDA">
        <w:rPr>
          <w:lang w:val="sr-Cyrl-CS"/>
        </w:rPr>
        <w:t xml:space="preserve"> вези са учешћем грађана у процесу одлучивања у односу на </w:t>
      </w:r>
      <w:r>
        <w:rPr>
          <w:lang w:val="sr-Cyrl-CS"/>
        </w:rPr>
        <w:t>неколико претходних година</w:t>
      </w:r>
      <w:r w:rsidR="00E27B82">
        <w:rPr>
          <w:lang w:val="sr-Cyrl-CS"/>
        </w:rPr>
        <w:t xml:space="preserve"> </w:t>
      </w:r>
      <w:r w:rsidR="00E27B82" w:rsidRPr="00471FDA">
        <w:rPr>
          <w:lang w:val="sr-Cyrl-CS"/>
        </w:rPr>
        <w:t xml:space="preserve"> (изричито задовољно и углавном задовољно), </w:t>
      </w:r>
      <w:r w:rsidR="00E27B82">
        <w:rPr>
          <w:lang w:val="sr-Cyrl-CS"/>
        </w:rPr>
        <w:t>при чему се као крајње позитиван исход може сматрати знатно смањење "пасивних" грађана</w:t>
      </w:r>
      <w:r>
        <w:rPr>
          <w:lang w:val="sr-Cyrl-CS"/>
        </w:rPr>
        <w:t xml:space="preserve"> (судећи по резултатима анкете тај број је испод 3% што може дјеловати и помало изненађујуће у односу на раније показатеље</w:t>
      </w:r>
      <w:r w:rsidR="00BD048D">
        <w:rPr>
          <w:lang w:val="sr-Cyrl-CS"/>
        </w:rPr>
        <w:t>. Можда је овоме допринијело и нешто повећан број анкета грађана у односу на неке пројекте у Граду, као нпр. уређење канала Дашница</w:t>
      </w:r>
      <w:r>
        <w:rPr>
          <w:lang w:val="sr-Cyrl-CS"/>
        </w:rPr>
        <w:t>)</w:t>
      </w:r>
      <w:r w:rsidR="00E27B82">
        <w:rPr>
          <w:lang w:val="sr-Cyrl-CS"/>
        </w:rPr>
        <w:t>;</w:t>
      </w:r>
      <w:r w:rsidR="00E27B82" w:rsidRPr="00471FDA">
        <w:rPr>
          <w:lang w:val="sr-Cyrl-CS"/>
        </w:rPr>
        <w:t xml:space="preserve"> </w:t>
      </w:r>
    </w:p>
    <w:p w:rsidR="00E27B82" w:rsidRPr="00471FDA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 w:rsidRPr="00471FDA">
        <w:rPr>
          <w:lang w:val="sr-Cyrl-CS"/>
        </w:rPr>
        <w:t>комуникација власти и грађана је добра</w:t>
      </w:r>
      <w:r>
        <w:rPr>
          <w:lang w:val="sr-Cyrl-CS"/>
        </w:rPr>
        <w:t xml:space="preserve"> -  мишљ</w:t>
      </w:r>
      <w:r w:rsidR="000F0F6D">
        <w:rPr>
          <w:lang w:val="sr-Cyrl-CS"/>
        </w:rPr>
        <w:t>ење је преко 82</w:t>
      </w:r>
      <w:r w:rsidRPr="00471FDA">
        <w:rPr>
          <w:lang w:val="sr-Cyrl-CS"/>
        </w:rPr>
        <w:t>% анкети</w:t>
      </w:r>
      <w:r w:rsidR="000F0F6D">
        <w:rPr>
          <w:lang w:val="sr-Cyrl-CS"/>
        </w:rPr>
        <w:t>раних корисника (у односу на 80% у претходној години), око 11</w:t>
      </w:r>
      <w:r w:rsidRPr="00471FDA">
        <w:rPr>
          <w:lang w:val="sr-Cyrl-CS"/>
        </w:rPr>
        <w:t xml:space="preserve">%  мишљења је да је углавном добра </w:t>
      </w:r>
      <w:r w:rsidRPr="00471FDA">
        <w:rPr>
          <w:lang w:val="sr-Cyrl-CS"/>
        </w:rPr>
        <w:lastRenderedPageBreak/>
        <w:t>(</w:t>
      </w:r>
      <w:r w:rsidR="000F0F6D">
        <w:rPr>
          <w:lang w:val="sr-Cyrl-CS"/>
        </w:rPr>
        <w:t>смањење за око 1%) а око 7</w:t>
      </w:r>
      <w:r w:rsidRPr="00471FDA">
        <w:rPr>
          <w:lang w:val="sr-Cyrl-CS"/>
        </w:rPr>
        <w:t>% да није добра, (</w:t>
      </w:r>
      <w:r w:rsidR="000F0F6D">
        <w:rPr>
          <w:lang w:val="sr-Cyrl-CS"/>
        </w:rPr>
        <w:t>у односу на око 6,5% из претходног</w:t>
      </w:r>
      <w:r>
        <w:rPr>
          <w:lang w:val="sr-Cyrl-CS"/>
        </w:rPr>
        <w:t xml:space="preserve"> период</w:t>
      </w:r>
      <w:r w:rsidR="000F0F6D">
        <w:rPr>
          <w:lang w:val="sr-Cyrl-CS"/>
        </w:rPr>
        <w:t>а</w:t>
      </w:r>
      <w:r w:rsidRPr="00471FDA">
        <w:rPr>
          <w:lang w:val="sr-Cyrl-CS"/>
        </w:rPr>
        <w:t>);</w:t>
      </w:r>
    </w:p>
    <w:p w:rsidR="00E27B82" w:rsidRDefault="00BD048D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83,11</w:t>
      </w:r>
      <w:r w:rsidR="00E27B82">
        <w:rPr>
          <w:lang w:val="sr-Cyrl-CS"/>
        </w:rPr>
        <w:t>% анкетираних корисника учествовало је на јавним скуповима, расправама и трибинама (значајно</w:t>
      </w:r>
      <w:r>
        <w:rPr>
          <w:lang w:val="sr-Cyrl-CS"/>
        </w:rPr>
        <w:t xml:space="preserve"> повећање у односу на око  77,27% у претходној години), а око 17</w:t>
      </w:r>
      <w:r w:rsidR="00E27B82">
        <w:rPr>
          <w:lang w:val="sr-Cyrl-CS"/>
        </w:rPr>
        <w:t>% није уч</w:t>
      </w:r>
      <w:r>
        <w:rPr>
          <w:lang w:val="sr-Cyrl-CS"/>
        </w:rPr>
        <w:t>ествовало, што представља</w:t>
      </w:r>
      <w:r w:rsidR="00E27B82">
        <w:rPr>
          <w:lang w:val="sr-Cyrl-CS"/>
        </w:rPr>
        <w:t xml:space="preserve"> смањење апстинената у односу на претходни</w:t>
      </w:r>
      <w:r>
        <w:rPr>
          <w:lang w:val="sr-Cyrl-CS"/>
        </w:rPr>
        <w:t xml:space="preserve"> период када их је било преко 20</w:t>
      </w:r>
      <w:r w:rsidR="00E27B82">
        <w:rPr>
          <w:lang w:val="sr-Cyrl-CS"/>
        </w:rPr>
        <w:t>%;</w:t>
      </w:r>
    </w:p>
    <w:p w:rsidR="00E27B82" w:rsidRDefault="00E27B82" w:rsidP="00E27B8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Градска управа је добро и ефикасно организована мишљења је </w:t>
      </w:r>
      <w:r w:rsidR="00C360C4">
        <w:rPr>
          <w:lang w:val="sr-Cyrl-CS"/>
        </w:rPr>
        <w:t>близу 80%</w:t>
      </w:r>
      <w:r>
        <w:rPr>
          <w:lang w:val="sr-Cyrl-CS"/>
        </w:rPr>
        <w:t xml:space="preserve">  анкетираних корисника (</w:t>
      </w:r>
      <w:r w:rsidR="00C360C4">
        <w:rPr>
          <w:lang w:val="sr-Cyrl-CS"/>
        </w:rPr>
        <w:t>примјетно повећање за око 7</w:t>
      </w:r>
      <w:r>
        <w:rPr>
          <w:lang w:val="sr-Cyrl-CS"/>
        </w:rPr>
        <w:t xml:space="preserve">% у односу на претходну годину), </w:t>
      </w:r>
      <w:r w:rsidR="00C360C4">
        <w:rPr>
          <w:lang w:val="sr-Cyrl-CS"/>
        </w:rPr>
        <w:t xml:space="preserve">преко 10% </w:t>
      </w:r>
      <w:r>
        <w:rPr>
          <w:lang w:val="sr-Cyrl-CS"/>
        </w:rPr>
        <w:t>мишљења је да је углавном добро и ефикасно организ</w:t>
      </w:r>
      <w:r w:rsidR="00C360C4">
        <w:rPr>
          <w:lang w:val="sr-Cyrl-CS"/>
        </w:rPr>
        <w:t>овано (смањење у односу на 13,18</w:t>
      </w:r>
      <w:r>
        <w:rPr>
          <w:lang w:val="sr-Cyrl-CS"/>
        </w:rPr>
        <w:t xml:space="preserve">% у претходној години), а </w:t>
      </w:r>
      <w:r w:rsidR="00C360C4">
        <w:rPr>
          <w:lang w:val="sr-Cyrl-CS"/>
        </w:rPr>
        <w:t>нешто изнад 10%</w:t>
      </w:r>
      <w:r>
        <w:rPr>
          <w:lang w:val="sr-Cyrl-CS"/>
        </w:rPr>
        <w:t xml:space="preserve"> је мишљења да није добро и ефикасно</w:t>
      </w:r>
      <w:r w:rsidR="00C360C4">
        <w:rPr>
          <w:lang w:val="sr-Cyrl-CS"/>
        </w:rPr>
        <w:t xml:space="preserve"> организована (у односу на 12,27</w:t>
      </w:r>
      <w:r>
        <w:rPr>
          <w:lang w:val="sr-Cyrl-CS"/>
        </w:rPr>
        <w:t xml:space="preserve">% у претходној години), што све заједно представља </w:t>
      </w:r>
      <w:r w:rsidR="00C360C4">
        <w:rPr>
          <w:lang w:val="sr-Cyrl-CS"/>
        </w:rPr>
        <w:t xml:space="preserve">пораст </w:t>
      </w:r>
      <w:r>
        <w:rPr>
          <w:lang w:val="sr-Cyrl-CS"/>
        </w:rPr>
        <w:t>задовољства грађана у односу на орга</w:t>
      </w:r>
      <w:r w:rsidR="00C360C4">
        <w:rPr>
          <w:lang w:val="sr-Cyrl-CS"/>
        </w:rPr>
        <w:t>низованост Градске управе (око 7</w:t>
      </w:r>
      <w:r>
        <w:rPr>
          <w:lang w:val="sr-Cyrl-CS"/>
        </w:rPr>
        <w:t xml:space="preserve">%) у односу на претходни период.  </w:t>
      </w:r>
    </w:p>
    <w:p w:rsidR="00E27B82" w:rsidRDefault="00E27B82" w:rsidP="00E27B82">
      <w:pPr>
        <w:ind w:left="720"/>
        <w:jc w:val="both"/>
        <w:rPr>
          <w:lang w:val="sr-Cyrl-CS"/>
        </w:rPr>
      </w:pPr>
    </w:p>
    <w:p w:rsidR="00E27B82" w:rsidRDefault="00E27B82" w:rsidP="00E27B82">
      <w:pPr>
        <w:ind w:left="720"/>
        <w:jc w:val="both"/>
        <w:rPr>
          <w:lang w:val="sr-Cyrl-CS"/>
        </w:rPr>
      </w:pPr>
      <w:r>
        <w:rPr>
          <w:lang w:val="sr-Cyrl-CS"/>
        </w:rPr>
        <w:t>Укупно посматрајући резултате анкетирања, у актуелном периоду је веома уочљив проценат повећања одговора изричитог задовољства (као ни у једној од до сада проведених анкета) корисника услуга (код свих одговора је повећан овај проценат). Исто тако неупоредиво је мање изричито незадовољних анкетираних грађана по свим питањима из анкетног упитника.</w:t>
      </w:r>
      <w:r w:rsidR="00C360C4">
        <w:rPr>
          <w:lang w:val="sr-Cyrl-CS"/>
        </w:rPr>
        <w:t xml:space="preserve"> Ова тенденција је уочена и нешто раније, што даје благог основа за закључак о споријем али континуираном повећању задовољства корисника услуга посебно у погледу квалитета пружања услуга, љубазности особља, организованости градских органа, планирања развоја и грађанског учешћа у локалном одлучивању.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ind w:firstLine="720"/>
        <w:jc w:val="both"/>
        <w:rPr>
          <w:bCs/>
          <w:lang w:val="sr-Cyrl-CS"/>
        </w:rPr>
      </w:pPr>
      <w:r w:rsidRPr="00152D2F">
        <w:rPr>
          <w:b/>
          <w:lang w:val="sr-Cyrl-CS"/>
        </w:rPr>
        <w:t>2. Анкетирања корисника услуга о њиховом задовољству пруженим услугама</w:t>
      </w:r>
      <w:r>
        <w:rPr>
          <w:bCs/>
          <w:lang w:val="sr-Cyrl-CS"/>
        </w:rPr>
        <w:t xml:space="preserve"> врше се од 2007. године (увођење система управљања квалитетом), а упоредни подаци за последње три години су видљиви из следеће табеле:  </w:t>
      </w:r>
    </w:p>
    <w:p w:rsidR="00E27B82" w:rsidRPr="00A6157E" w:rsidRDefault="00E27B82" w:rsidP="00E27B82">
      <w:pPr>
        <w:ind w:firstLine="720"/>
        <w:jc w:val="both"/>
        <w:rPr>
          <w:bCs/>
          <w:sz w:val="10"/>
          <w:szCs w:val="10"/>
          <w:lang w:val="sr-Cyrl-CS"/>
        </w:rPr>
      </w:pPr>
    </w:p>
    <w:p w:rsidR="00E27B82" w:rsidRPr="0062656F" w:rsidRDefault="00E27B82" w:rsidP="00E27B82">
      <w:pPr>
        <w:ind w:firstLine="720"/>
        <w:jc w:val="both"/>
        <w:rPr>
          <w:b/>
          <w:bCs/>
          <w:i/>
          <w:lang w:val="sr-Cyrl-CS"/>
        </w:rPr>
      </w:pPr>
      <w:r>
        <w:rPr>
          <w:b/>
          <w:bCs/>
          <w:i/>
          <w:lang w:val="sr-Cyrl-CS"/>
        </w:rPr>
        <w:t>Табела 2</w:t>
      </w:r>
      <w:r w:rsidRPr="0062656F">
        <w:rPr>
          <w:b/>
          <w:bCs/>
          <w:i/>
          <w:lang w:val="sr-Cyrl-CS"/>
        </w:rPr>
        <w:t xml:space="preserve">. Упоредни подаци анкетирања </w:t>
      </w:r>
      <w:r>
        <w:rPr>
          <w:b/>
          <w:bCs/>
          <w:i/>
          <w:lang w:val="sr-Cyrl-CS"/>
        </w:rPr>
        <w:t>грађана:  2017-2018-2019. година</w:t>
      </w:r>
    </w:p>
    <w:tbl>
      <w:tblPr>
        <w:tblW w:w="10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3410"/>
        <w:gridCol w:w="1061"/>
        <w:gridCol w:w="1457"/>
        <w:gridCol w:w="1993"/>
        <w:gridCol w:w="1457"/>
      </w:tblGrid>
      <w:tr w:rsidR="00E27B82" w:rsidTr="002F73E1">
        <w:trPr>
          <w:trHeight w:val="635"/>
        </w:trPr>
        <w:tc>
          <w:tcPr>
            <w:tcW w:w="642" w:type="dxa"/>
            <w:shd w:val="clear" w:color="auto" w:fill="auto"/>
            <w:vAlign w:val="center"/>
          </w:tcPr>
          <w:p w:rsidR="00E27B82" w:rsidRDefault="00E27B82" w:rsidP="002F73E1">
            <w:pPr>
              <w:jc w:val="center"/>
              <w:rPr>
                <w:b/>
                <w:bCs/>
              </w:rPr>
            </w:pPr>
            <w:r>
              <w:rPr>
                <w:bCs/>
                <w:lang w:val="sr-Cyrl-CS"/>
              </w:rPr>
              <w:br w:type="page"/>
            </w:r>
            <w:r>
              <w:rPr>
                <w:bCs/>
                <w:lang w:val="sr-Cyrl-CS"/>
              </w:rPr>
              <w:br w:type="page"/>
            </w:r>
            <w:r>
              <w:rPr>
                <w:b/>
                <w:bCs/>
                <w:lang w:val="sr-Cyrl-CS"/>
              </w:rPr>
              <w:t>р.б.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E27B82" w:rsidRDefault="00E27B82" w:rsidP="002F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П и т а њ 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Default="00E27B82" w:rsidP="002F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Да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27B82" w:rsidRDefault="00E27B82" w:rsidP="002F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Углавном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Default="00E27B82" w:rsidP="002F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Не</w:t>
            </w:r>
          </w:p>
        </w:tc>
      </w:tr>
      <w:tr w:rsidR="00C360C4" w:rsidTr="002F73E1">
        <w:trPr>
          <w:trHeight w:val="467"/>
        </w:trPr>
        <w:tc>
          <w:tcPr>
            <w:tcW w:w="642" w:type="dxa"/>
            <w:vMerge w:val="restart"/>
            <w:shd w:val="clear" w:color="auto" w:fill="auto"/>
          </w:tcPr>
          <w:p w:rsidR="00C360C4" w:rsidRDefault="00C360C4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1.</w:t>
            </w:r>
          </w:p>
          <w:p w:rsidR="00C360C4" w:rsidRDefault="00C360C4" w:rsidP="002F73E1">
            <w:pPr>
              <w:rPr>
                <w:b/>
                <w:bCs/>
                <w:lang w:val="sr-Cyrl-CS"/>
              </w:rPr>
            </w:pPr>
          </w:p>
          <w:p w:rsidR="00C360C4" w:rsidRDefault="00C360C4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C360C4" w:rsidRPr="000A38C1" w:rsidRDefault="00C360C4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 Да ли сте задовољни услугом Административне службе?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360C4" w:rsidRDefault="00C360C4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360C4" w:rsidRPr="00ED38B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94,51%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360C4" w:rsidRPr="00CD58A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5,49%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360C4" w:rsidRPr="00CD58A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0%</w:t>
            </w:r>
          </w:p>
        </w:tc>
      </w:tr>
      <w:tr w:rsidR="00C360C4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C360C4" w:rsidRPr="00B9197F" w:rsidRDefault="00C360C4" w:rsidP="002F73E1">
            <w:pPr>
              <w:rPr>
                <w:b/>
                <w:bCs/>
                <w:lang w:val="sr-Cyrl-CS"/>
              </w:rPr>
            </w:pPr>
          </w:p>
        </w:tc>
        <w:tc>
          <w:tcPr>
            <w:tcW w:w="3410" w:type="dxa"/>
            <w:vMerge/>
            <w:vAlign w:val="center"/>
          </w:tcPr>
          <w:p w:rsidR="00C360C4" w:rsidRDefault="00C360C4" w:rsidP="002F73E1"/>
        </w:tc>
        <w:tc>
          <w:tcPr>
            <w:tcW w:w="1061" w:type="dxa"/>
            <w:vAlign w:val="center"/>
          </w:tcPr>
          <w:p w:rsidR="001E1B93" w:rsidRDefault="001E1B93" w:rsidP="001E1B93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1E1B93" w:rsidRDefault="001E1B93" w:rsidP="001E1B9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C360C4" w:rsidRPr="00ED38B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92,72%</w:t>
            </w:r>
          </w:p>
        </w:tc>
        <w:tc>
          <w:tcPr>
            <w:tcW w:w="1993" w:type="dxa"/>
            <w:vAlign w:val="center"/>
          </w:tcPr>
          <w:p w:rsidR="00C360C4" w:rsidRPr="00CD58A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3,18%</w:t>
            </w:r>
          </w:p>
        </w:tc>
        <w:tc>
          <w:tcPr>
            <w:tcW w:w="1457" w:type="dxa"/>
            <w:vAlign w:val="center"/>
          </w:tcPr>
          <w:p w:rsidR="00C360C4" w:rsidRPr="00CD58AA" w:rsidRDefault="00C360C4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3,63%</w:t>
            </w:r>
          </w:p>
        </w:tc>
      </w:tr>
      <w:tr w:rsidR="00E27B82" w:rsidTr="002F73E1">
        <w:trPr>
          <w:trHeight w:val="602"/>
        </w:trPr>
        <w:tc>
          <w:tcPr>
            <w:tcW w:w="642" w:type="dxa"/>
            <w:vMerge/>
            <w:vAlign w:val="center"/>
          </w:tcPr>
          <w:p w:rsidR="00E27B82" w:rsidRPr="00B9197F" w:rsidRDefault="00E27B82" w:rsidP="002F73E1">
            <w:pPr>
              <w:rPr>
                <w:b/>
                <w:bCs/>
                <w:lang w:val="sr-Cyrl-CS"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C360C4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</w:tc>
        <w:tc>
          <w:tcPr>
            <w:tcW w:w="1457" w:type="dxa"/>
            <w:vAlign w:val="center"/>
          </w:tcPr>
          <w:p w:rsidR="00E27B82" w:rsidRPr="00ED38BA" w:rsidRDefault="00C360C4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96,62%</w:t>
            </w:r>
          </w:p>
        </w:tc>
        <w:tc>
          <w:tcPr>
            <w:tcW w:w="1993" w:type="dxa"/>
            <w:vAlign w:val="center"/>
          </w:tcPr>
          <w:p w:rsidR="00E27B82" w:rsidRPr="00CD58AA" w:rsidRDefault="00C360C4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2,70%</w:t>
            </w:r>
          </w:p>
        </w:tc>
        <w:tc>
          <w:tcPr>
            <w:tcW w:w="1457" w:type="dxa"/>
            <w:vAlign w:val="center"/>
          </w:tcPr>
          <w:p w:rsidR="00E27B82" w:rsidRPr="00CD58AA" w:rsidRDefault="00C360C4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0,68%</w:t>
            </w:r>
          </w:p>
        </w:tc>
      </w:tr>
      <w:tr w:rsidR="001E1B93" w:rsidTr="002F73E1">
        <w:trPr>
          <w:trHeight w:val="305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1E1B93" w:rsidRPr="000A38C1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>Да ли је особље Административне службе љубазно?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88,89%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10,00%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1,11%</w:t>
            </w:r>
          </w:p>
        </w:tc>
      </w:tr>
      <w:tr w:rsidR="001E1B93" w:rsidTr="002F73E1">
        <w:trPr>
          <w:trHeight w:val="569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90,9%1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4,55%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3,18%</w:t>
            </w:r>
          </w:p>
        </w:tc>
      </w:tr>
      <w:tr w:rsidR="00E27B82" w:rsidTr="002F73E1">
        <w:trPr>
          <w:trHeight w:val="569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shd w:val="clear" w:color="auto" w:fill="auto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97,30%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2,03%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0,68%</w:t>
            </w:r>
          </w:p>
        </w:tc>
      </w:tr>
      <w:tr w:rsidR="001E1B93" w:rsidTr="002F73E1">
        <w:trPr>
          <w:trHeight w:val="575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FB7986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 Да ли добијате брзо и ефикасно одговрајућу услугу, </w:t>
            </w:r>
            <w:r>
              <w:rPr>
                <w:lang w:val="sr-Cyrl-CS"/>
              </w:rPr>
              <w:lastRenderedPageBreak/>
              <w:t>без беспотребног чекања?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88,89%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10,00%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1,11%</w:t>
            </w:r>
          </w:p>
        </w:tc>
      </w:tr>
      <w:tr w:rsidR="001E1B93" w:rsidTr="002F73E1">
        <w:trPr>
          <w:trHeight w:val="524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84,09%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10,91%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5,00%</w:t>
            </w:r>
          </w:p>
        </w:tc>
      </w:tr>
      <w:tr w:rsidR="00E27B82" w:rsidTr="002F73E1">
        <w:trPr>
          <w:trHeight w:val="524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shd w:val="clear" w:color="auto" w:fill="auto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89,96%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8,78%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1,35%</w:t>
            </w:r>
          </w:p>
        </w:tc>
      </w:tr>
      <w:tr w:rsidR="001E1B93" w:rsidTr="002F73E1">
        <w:trPr>
          <w:trHeight w:val="557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FB7986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Да ли руководство и радници Вашег Града одговорно обављају свој посао?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78,89%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20,00%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1,11%</w:t>
            </w:r>
          </w:p>
        </w:tc>
      </w:tr>
      <w:tr w:rsidR="001E1B93" w:rsidTr="002F73E1">
        <w:trPr>
          <w:trHeight w:val="542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80,45%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13,64%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5,00%</w:t>
            </w:r>
          </w:p>
        </w:tc>
      </w:tr>
      <w:tr w:rsidR="00E27B82" w:rsidTr="002F73E1">
        <w:trPr>
          <w:trHeight w:val="542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shd w:val="clear" w:color="auto" w:fill="auto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2020.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87,84%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10,14%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2,03%</w:t>
            </w:r>
          </w:p>
        </w:tc>
      </w:tr>
      <w:tr w:rsidR="001E1B93" w:rsidTr="002F73E1">
        <w:trPr>
          <w:trHeight w:val="422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0A38C1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 Да ли у Вашем Граду раде квалифковани кадрови?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85,39%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13,48%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1,13%</w:t>
            </w:r>
          </w:p>
        </w:tc>
      </w:tr>
      <w:tr w:rsidR="001E1B93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78,18%</w:t>
            </w:r>
          </w:p>
        </w:tc>
        <w:tc>
          <w:tcPr>
            <w:tcW w:w="1993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16,82%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4,55%</w:t>
            </w:r>
          </w:p>
        </w:tc>
      </w:tr>
      <w:tr w:rsidR="00E27B82" w:rsidTr="002F73E1">
        <w:trPr>
          <w:trHeight w:val="350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1E1B93" w:rsidRDefault="001E1B93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89,19%</w:t>
            </w:r>
          </w:p>
        </w:tc>
        <w:tc>
          <w:tcPr>
            <w:tcW w:w="1993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10,14%</w:t>
            </w: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0,68%</w:t>
            </w:r>
          </w:p>
        </w:tc>
      </w:tr>
      <w:tr w:rsidR="001E1B93" w:rsidTr="002F73E1">
        <w:trPr>
          <w:trHeight w:val="512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0A38C1" w:rsidRDefault="001E1B93" w:rsidP="002F73E1">
            <w:pPr>
              <w:rPr>
                <w:lang w:val="ru-RU"/>
              </w:rPr>
            </w:pPr>
            <w:r>
              <w:rPr>
                <w:lang w:val="sr-Cyrl-CS"/>
              </w:rPr>
              <w:t xml:space="preserve">  Да ли сте задовољни радом Скупштине Града и њиховим планирањем развоја заједнице?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76,92%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19,78%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3,30%</w:t>
            </w:r>
          </w:p>
        </w:tc>
      </w:tr>
      <w:tr w:rsidR="001E1B93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2019. </w:t>
            </w:r>
          </w:p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80,00%</w:t>
            </w:r>
          </w:p>
        </w:tc>
        <w:tc>
          <w:tcPr>
            <w:tcW w:w="1993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12,73%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6,36%</w:t>
            </w:r>
          </w:p>
        </w:tc>
      </w:tr>
      <w:tr w:rsidR="00E27B82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1E1B93" w:rsidRDefault="001E1B93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87,84%</w:t>
            </w:r>
          </w:p>
        </w:tc>
        <w:tc>
          <w:tcPr>
            <w:tcW w:w="1993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10,81%</w:t>
            </w: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1,35%</w:t>
            </w:r>
          </w:p>
        </w:tc>
      </w:tr>
      <w:tr w:rsidR="001E1B93" w:rsidTr="002F73E1">
        <w:trPr>
          <w:trHeight w:val="575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 xml:space="preserve">  7.</w:t>
            </w:r>
          </w:p>
          <w:p w:rsidR="001E1B93" w:rsidRDefault="001E1B93" w:rsidP="002F73E1">
            <w:p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080F2E" w:rsidRDefault="001E1B93" w:rsidP="002F73E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грађани учествују у процесу доношења одлука? Да ли се води рачуна о предлозима грађана?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85,71%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9,89%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4,40%</w:t>
            </w:r>
          </w:p>
        </w:tc>
      </w:tr>
      <w:tr w:rsidR="001E1B93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1E1B93" w:rsidRPr="000A38C1" w:rsidRDefault="001E1B93" w:rsidP="002F73E1">
            <w:pPr>
              <w:rPr>
                <w:b/>
                <w:bCs/>
                <w:lang w:val="sr-Cyrl-CS"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82,27%</w:t>
            </w:r>
          </w:p>
        </w:tc>
        <w:tc>
          <w:tcPr>
            <w:tcW w:w="1993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11,82%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5,00%</w:t>
            </w:r>
          </w:p>
        </w:tc>
      </w:tr>
      <w:tr w:rsidR="00E27B82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E27B82" w:rsidRPr="000A38C1" w:rsidRDefault="00E27B82" w:rsidP="002F73E1">
            <w:pPr>
              <w:rPr>
                <w:b/>
                <w:bCs/>
                <w:lang w:val="sr-Cyrl-CS"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1E1B93" w:rsidRDefault="001E1B93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89,19%</w:t>
            </w:r>
          </w:p>
        </w:tc>
        <w:tc>
          <w:tcPr>
            <w:tcW w:w="1993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8,11%</w:t>
            </w: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2,70%</w:t>
            </w:r>
          </w:p>
        </w:tc>
      </w:tr>
      <w:tr w:rsidR="001E1B93" w:rsidTr="002F73E1">
        <w:trPr>
          <w:trHeight w:val="530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0A38C1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 Да ли је добра комунакација локалне власти и грађана?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81,11%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16,67%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2,22%</w:t>
            </w:r>
          </w:p>
        </w:tc>
      </w:tr>
      <w:tr w:rsidR="001E1B93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80,00%</w:t>
            </w:r>
          </w:p>
        </w:tc>
        <w:tc>
          <w:tcPr>
            <w:tcW w:w="1993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12,73%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6,36%</w:t>
            </w:r>
          </w:p>
        </w:tc>
      </w:tr>
      <w:tr w:rsidR="00E27B82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1E1B93" w:rsidRDefault="001E1B93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82,43%</w:t>
            </w:r>
          </w:p>
        </w:tc>
        <w:tc>
          <w:tcPr>
            <w:tcW w:w="1993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10,81%</w:t>
            </w:r>
          </w:p>
        </w:tc>
        <w:tc>
          <w:tcPr>
            <w:tcW w:w="1457" w:type="dxa"/>
            <w:vAlign w:val="center"/>
          </w:tcPr>
          <w:p w:rsidR="00E27B82" w:rsidRPr="00CD58AA" w:rsidRDefault="001E1B93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6,76%</w:t>
            </w:r>
          </w:p>
        </w:tc>
      </w:tr>
      <w:tr w:rsidR="001E1B93" w:rsidTr="002F73E1">
        <w:trPr>
          <w:trHeight w:val="485"/>
        </w:trPr>
        <w:tc>
          <w:tcPr>
            <w:tcW w:w="642" w:type="dxa"/>
            <w:vMerge w:val="restart"/>
            <w:shd w:val="clear" w:color="auto" w:fill="auto"/>
          </w:tcPr>
          <w:p w:rsidR="001E1B93" w:rsidRDefault="001E1B93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1E1B93" w:rsidRPr="000A38C1" w:rsidRDefault="001E1B93" w:rsidP="002F73E1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 Да ли сте учествовали на јавним скуповима, расправама и трибинама?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69,23%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E1B93" w:rsidRPr="00ED38B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1B93" w:rsidRDefault="001E1B93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30,77%</w:t>
            </w:r>
          </w:p>
        </w:tc>
      </w:tr>
      <w:tr w:rsidR="001E1B93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1E1B93" w:rsidRDefault="001E1B93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1E1B93" w:rsidRDefault="001E1B93" w:rsidP="002F73E1"/>
        </w:tc>
        <w:tc>
          <w:tcPr>
            <w:tcW w:w="1061" w:type="dxa"/>
            <w:vAlign w:val="center"/>
          </w:tcPr>
          <w:p w:rsidR="009076E9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1E1B93" w:rsidRDefault="001E1B93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77,27%</w:t>
            </w:r>
          </w:p>
        </w:tc>
        <w:tc>
          <w:tcPr>
            <w:tcW w:w="1993" w:type="dxa"/>
            <w:vAlign w:val="center"/>
          </w:tcPr>
          <w:p w:rsidR="001E1B93" w:rsidRPr="00ED38B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57" w:type="dxa"/>
            <w:vAlign w:val="center"/>
          </w:tcPr>
          <w:p w:rsidR="001E1B93" w:rsidRPr="00CD58AA" w:rsidRDefault="001E1B93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20,45%</w:t>
            </w:r>
          </w:p>
        </w:tc>
      </w:tr>
      <w:tr w:rsidR="00E27B82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1E1B93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9076E9" w:rsidRDefault="009076E9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83,11%</w:t>
            </w:r>
          </w:p>
        </w:tc>
        <w:tc>
          <w:tcPr>
            <w:tcW w:w="1993" w:type="dxa"/>
            <w:vAlign w:val="center"/>
          </w:tcPr>
          <w:p w:rsidR="00E27B82" w:rsidRPr="00ED38B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57" w:type="dxa"/>
            <w:vAlign w:val="center"/>
          </w:tcPr>
          <w:p w:rsidR="00E27B82" w:rsidRPr="00CD58A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16,89%</w:t>
            </w:r>
          </w:p>
        </w:tc>
      </w:tr>
      <w:tr w:rsidR="009076E9" w:rsidTr="002F73E1">
        <w:trPr>
          <w:trHeight w:val="485"/>
        </w:trPr>
        <w:tc>
          <w:tcPr>
            <w:tcW w:w="642" w:type="dxa"/>
            <w:vMerge w:val="restart"/>
            <w:shd w:val="clear" w:color="auto" w:fill="auto"/>
          </w:tcPr>
          <w:p w:rsidR="009076E9" w:rsidRDefault="009076E9" w:rsidP="002F73E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9076E9" w:rsidRPr="000A38C1" w:rsidRDefault="009076E9" w:rsidP="002F73E1">
            <w:pPr>
              <w:rPr>
                <w:lang w:val="ru-RU"/>
              </w:rPr>
            </w:pPr>
            <w:r>
              <w:rPr>
                <w:lang w:val="sr-Cyrl-CS"/>
              </w:rPr>
              <w:t xml:space="preserve"> Да ли је Ваша градска административна служба добро и ефикасно организована?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76E9" w:rsidRDefault="009076E9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2018.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076E9" w:rsidRDefault="009076E9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70,79%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076E9" w:rsidRDefault="009076E9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15,73%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076E9" w:rsidRDefault="009076E9" w:rsidP="001A205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13,48%</w:t>
            </w:r>
          </w:p>
        </w:tc>
      </w:tr>
      <w:tr w:rsidR="009076E9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9076E9" w:rsidRDefault="009076E9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9076E9" w:rsidRDefault="009076E9" w:rsidP="002F73E1"/>
        </w:tc>
        <w:tc>
          <w:tcPr>
            <w:tcW w:w="1061" w:type="dxa"/>
            <w:vAlign w:val="center"/>
          </w:tcPr>
          <w:p w:rsidR="009076E9" w:rsidRDefault="009076E9" w:rsidP="001A205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2019.</w:t>
            </w:r>
          </w:p>
          <w:p w:rsidR="009076E9" w:rsidRDefault="009076E9" w:rsidP="001A2054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73,18%</w:t>
            </w:r>
          </w:p>
        </w:tc>
        <w:tc>
          <w:tcPr>
            <w:tcW w:w="1993" w:type="dxa"/>
            <w:vAlign w:val="center"/>
          </w:tcPr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13,18%</w:t>
            </w:r>
          </w:p>
        </w:tc>
        <w:tc>
          <w:tcPr>
            <w:tcW w:w="1457" w:type="dxa"/>
            <w:vAlign w:val="center"/>
          </w:tcPr>
          <w:p w:rsidR="009076E9" w:rsidRPr="00CD58AA" w:rsidRDefault="009076E9" w:rsidP="001A205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12,27%</w:t>
            </w:r>
          </w:p>
        </w:tc>
      </w:tr>
      <w:tr w:rsidR="00E27B82" w:rsidTr="002F73E1">
        <w:trPr>
          <w:trHeight w:val="276"/>
        </w:trPr>
        <w:tc>
          <w:tcPr>
            <w:tcW w:w="642" w:type="dxa"/>
            <w:vMerge/>
            <w:vAlign w:val="center"/>
          </w:tcPr>
          <w:p w:rsidR="00E27B82" w:rsidRDefault="00E27B82" w:rsidP="002F73E1">
            <w:pPr>
              <w:rPr>
                <w:b/>
                <w:bCs/>
              </w:rPr>
            </w:pPr>
          </w:p>
        </w:tc>
        <w:tc>
          <w:tcPr>
            <w:tcW w:w="3410" w:type="dxa"/>
            <w:vMerge/>
            <w:vAlign w:val="center"/>
          </w:tcPr>
          <w:p w:rsidR="00E27B82" w:rsidRDefault="00E27B82" w:rsidP="002F73E1"/>
        </w:tc>
        <w:tc>
          <w:tcPr>
            <w:tcW w:w="1061" w:type="dxa"/>
            <w:vAlign w:val="center"/>
          </w:tcPr>
          <w:p w:rsidR="00E27B82" w:rsidRDefault="009076E9" w:rsidP="002F73E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2020.</w:t>
            </w:r>
          </w:p>
          <w:p w:rsidR="009076E9" w:rsidRDefault="009076E9" w:rsidP="002F73E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57" w:type="dxa"/>
            <w:vAlign w:val="center"/>
          </w:tcPr>
          <w:p w:rsidR="00E27B82" w:rsidRPr="00CD58A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79,73%</w:t>
            </w:r>
          </w:p>
        </w:tc>
        <w:tc>
          <w:tcPr>
            <w:tcW w:w="1993" w:type="dxa"/>
            <w:vAlign w:val="center"/>
          </w:tcPr>
          <w:p w:rsidR="00E27B82" w:rsidRPr="00CD58A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10,14%</w:t>
            </w:r>
          </w:p>
        </w:tc>
        <w:tc>
          <w:tcPr>
            <w:tcW w:w="1457" w:type="dxa"/>
            <w:vAlign w:val="center"/>
          </w:tcPr>
          <w:p w:rsidR="00E27B82" w:rsidRPr="00CD58AA" w:rsidRDefault="009076E9" w:rsidP="002F73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10,14%</w:t>
            </w:r>
          </w:p>
        </w:tc>
      </w:tr>
    </w:tbl>
    <w:p w:rsidR="00E27B82" w:rsidRDefault="00E27B82" w:rsidP="00E27B82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>К</w:t>
      </w:r>
      <w:r w:rsidRPr="00494278">
        <w:rPr>
          <w:bCs/>
          <w:lang w:val="sr-Cyrl-CS"/>
        </w:rPr>
        <w:t>орисници услуга</w:t>
      </w:r>
      <w:r>
        <w:rPr>
          <w:bCs/>
          <w:lang w:val="sr-Cyrl-CS"/>
        </w:rPr>
        <w:t xml:space="preserve"> који су учествовали у анкети</w:t>
      </w:r>
      <w:r w:rsidRPr="00494278">
        <w:rPr>
          <w:bCs/>
          <w:lang w:val="sr-Cyrl-CS"/>
        </w:rPr>
        <w:t>, имајући у виду позитивне одговоре (да и углавном), изјаснили су се да су  задовољни услугама Градске управе и да иста послове обавља брзо и</w:t>
      </w:r>
      <w:r w:rsidRPr="006C2ED2">
        <w:rPr>
          <w:bCs/>
          <w:lang w:val="sr-Cyrl-CS"/>
        </w:rPr>
        <w:t xml:space="preserve"> ефикасно без беспотребног чекања, да је особље </w:t>
      </w:r>
      <w:r>
        <w:rPr>
          <w:bCs/>
          <w:lang w:val="sr-Cyrl-CS"/>
        </w:rPr>
        <w:t>Градске управе</w:t>
      </w:r>
      <w:r w:rsidRPr="006C2ED2">
        <w:rPr>
          <w:bCs/>
          <w:lang w:val="sr-Cyrl-CS"/>
        </w:rPr>
        <w:t xml:space="preserve"> љубазно, квалифковано и одговорно, али се уочава</w:t>
      </w:r>
      <w:r>
        <w:rPr>
          <w:bCs/>
          <w:lang w:val="sr-Cyrl-CS"/>
        </w:rPr>
        <w:t>ла</w:t>
      </w:r>
      <w:r w:rsidRPr="006C2ED2">
        <w:rPr>
          <w:bCs/>
          <w:lang w:val="sr-Cyrl-CS"/>
        </w:rPr>
        <w:t xml:space="preserve"> различита тенденција. </w:t>
      </w:r>
      <w:r>
        <w:rPr>
          <w:bCs/>
          <w:lang w:val="sr-Cyrl-CS"/>
        </w:rPr>
        <w:t xml:space="preserve">Одговори на првих пет питања која се односе на рад Градске управе и кадрова показују нијансирана, сразмјерна повећања задовољства корисника услуга на свим нивоима одговора у односу на  претходни период, тако да се основне карактеристике континуирано одржавају на позитивном нивоу (разлике нису значајне да би </w:t>
      </w:r>
      <w:r w:rsidR="00924B23">
        <w:rPr>
          <w:bCs/>
          <w:lang w:val="sr-Cyrl-CS"/>
        </w:rPr>
        <w:t xml:space="preserve">се </w:t>
      </w:r>
      <w:r>
        <w:rPr>
          <w:bCs/>
          <w:lang w:val="sr-Cyrl-CS"/>
        </w:rPr>
        <w:t xml:space="preserve">тенденције промијениле). </w:t>
      </w:r>
    </w:p>
    <w:p w:rsidR="00E27B82" w:rsidRDefault="00E27B82" w:rsidP="00E27B82">
      <w:pPr>
        <w:ind w:firstLine="720"/>
        <w:jc w:val="both"/>
        <w:rPr>
          <w:bCs/>
          <w:lang w:val="sr-Cyrl-CS"/>
        </w:rPr>
      </w:pPr>
      <w:r>
        <w:rPr>
          <w:b/>
          <w:bCs/>
          <w:lang w:val="sr-Cyrl-CS"/>
        </w:rPr>
        <w:t>Горе наведени</w:t>
      </w:r>
      <w:r w:rsidRPr="00C830AD">
        <w:rPr>
          <w:b/>
          <w:bCs/>
          <w:lang w:val="sr-Cyrl-CS"/>
        </w:rPr>
        <w:t xml:space="preserve"> упоредни подаци показују да је задовољство корисника услуга, изражено кроз одговоре на првих пет питања </w:t>
      </w:r>
      <w:r>
        <w:rPr>
          <w:bCs/>
          <w:lang w:val="sr-Cyrl-CS"/>
        </w:rPr>
        <w:t xml:space="preserve">(која се односе и на особље администрације, ефикасност пружања услуга, одговорност и квалификације), у највећем проценту исказано </w:t>
      </w:r>
      <w:r w:rsidRPr="00EE6F11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у </w:t>
      </w:r>
      <w:r w:rsidRPr="00EE6F11">
        <w:rPr>
          <w:bCs/>
          <w:lang w:val="sr-Cyrl-CS"/>
        </w:rPr>
        <w:t xml:space="preserve">анкети </w:t>
      </w:r>
      <w:r>
        <w:rPr>
          <w:bCs/>
          <w:lang w:val="sr-Cyrl-CS"/>
        </w:rPr>
        <w:t xml:space="preserve"> у</w:t>
      </w:r>
      <w:r w:rsidR="00924B23">
        <w:rPr>
          <w:bCs/>
          <w:lang w:val="sr-Cyrl-CS"/>
        </w:rPr>
        <w:t>право у овој 2020</w:t>
      </w:r>
      <w:r w:rsidR="00965A97">
        <w:rPr>
          <w:bCs/>
          <w:lang w:val="sr-Cyrl-CS"/>
        </w:rPr>
        <w:t xml:space="preserve">. </w:t>
      </w:r>
      <w:r>
        <w:rPr>
          <w:bCs/>
          <w:lang w:val="sr-Cyrl-CS"/>
        </w:rPr>
        <w:t>тако да се може извести закључак о томе да су рез</w:t>
      </w:r>
      <w:r w:rsidR="00965A97">
        <w:rPr>
          <w:bCs/>
          <w:lang w:val="sr-Cyrl-CS"/>
        </w:rPr>
        <w:t>ултати овог анкетирања  повећали позитивне одговоре</w:t>
      </w:r>
      <w:r>
        <w:rPr>
          <w:bCs/>
          <w:lang w:val="sr-Cyrl-CS"/>
        </w:rPr>
        <w:t xml:space="preserve"> у односу на рад Градске управе. </w:t>
      </w:r>
    </w:p>
    <w:p w:rsidR="00E27B82" w:rsidRDefault="00E27B82" w:rsidP="00E27B82">
      <w:pPr>
        <w:ind w:firstLine="720"/>
        <w:jc w:val="both"/>
        <w:rPr>
          <w:bCs/>
          <w:lang w:val="sr-Cyrl-CS"/>
        </w:rPr>
      </w:pPr>
      <w:r>
        <w:rPr>
          <w:b/>
          <w:bCs/>
          <w:lang w:val="sr-Cyrl-CS"/>
        </w:rPr>
        <w:t>Што се тиче одговора</w:t>
      </w:r>
      <w:r w:rsidRPr="00C830AD">
        <w:rPr>
          <w:b/>
          <w:bCs/>
          <w:lang w:val="sr-Cyrl-CS"/>
        </w:rPr>
        <w:t xml:space="preserve"> на  питања у вези са радом Скупштине </w:t>
      </w:r>
      <w:r>
        <w:rPr>
          <w:b/>
          <w:bCs/>
          <w:lang w:val="sr-Cyrl-CS"/>
        </w:rPr>
        <w:t>Града</w:t>
      </w:r>
      <w:r w:rsidRPr="00C830AD">
        <w:rPr>
          <w:b/>
          <w:bCs/>
          <w:lang w:val="sr-Cyrl-CS"/>
        </w:rPr>
        <w:t>, учешћа у доношењу одлука, комуникација и учешћа на јавним скуповима</w:t>
      </w:r>
      <w:r>
        <w:rPr>
          <w:bCs/>
          <w:lang w:val="sr-Cyrl-CS"/>
        </w:rPr>
        <w:t xml:space="preserve">, уочава   се </w:t>
      </w:r>
      <w:r w:rsidR="00965A97">
        <w:rPr>
          <w:bCs/>
          <w:lang w:val="sr-Cyrl-CS"/>
        </w:rPr>
        <w:t>иста темденција као и код прве групе питања, односно по виђењу анкетираних корисника услуга</w:t>
      </w:r>
      <w:r>
        <w:rPr>
          <w:bCs/>
          <w:lang w:val="sr-Cyrl-CS"/>
        </w:rPr>
        <w:t xml:space="preserve"> унапријеђен </w:t>
      </w:r>
      <w:r w:rsidR="00965A97">
        <w:rPr>
          <w:bCs/>
          <w:lang w:val="sr-Cyrl-CS"/>
        </w:rPr>
        <w:t xml:space="preserve">је </w:t>
      </w:r>
      <w:r>
        <w:rPr>
          <w:bCs/>
          <w:lang w:val="sr-Cyrl-CS"/>
        </w:rPr>
        <w:t xml:space="preserve">однос у односу на претходне године, имајући у виду примјетно  већи проценат пораста непосредног учешћа грађана у одлучивању у односу на раније периоде. Интересантно је да одговори на последња два питања имају </w:t>
      </w:r>
      <w:r w:rsidR="00965A97">
        <w:rPr>
          <w:bCs/>
          <w:lang w:val="sr-Cyrl-CS"/>
        </w:rPr>
        <w:t xml:space="preserve">сталну </w:t>
      </w:r>
      <w:r>
        <w:rPr>
          <w:bCs/>
          <w:lang w:val="sr-Cyrl-CS"/>
        </w:rPr>
        <w:t>тенденцију пораста изричитог задовољства односно одговора са "да", а о</w:t>
      </w:r>
      <w:r w:rsidR="00965A97">
        <w:rPr>
          <w:bCs/>
          <w:lang w:val="sr-Cyrl-CS"/>
        </w:rPr>
        <w:t>дноси се на учешће грађана на ја</w:t>
      </w:r>
      <w:r>
        <w:rPr>
          <w:bCs/>
          <w:lang w:val="sr-Cyrl-CS"/>
        </w:rPr>
        <w:t>вним скуповима и перцепцију организације Гра</w:t>
      </w:r>
      <w:r w:rsidR="00965A97">
        <w:rPr>
          <w:bCs/>
          <w:lang w:val="sr-Cyrl-CS"/>
        </w:rPr>
        <w:t>дске управе, с тим што је у 2020</w:t>
      </w:r>
      <w:r>
        <w:rPr>
          <w:bCs/>
          <w:lang w:val="sr-Cyrl-CS"/>
        </w:rPr>
        <w:t xml:space="preserve">. години знатно побољшан тај проценат изричитог одобравања начина комуникације са грађанима. Међутим,  грађани у примијетно  већем проценту, у односу на претходне године, процјењују да је Градска управа  добро и ефикасно организована, а у односу на претходне </w:t>
      </w:r>
      <w:r w:rsidR="00965A97">
        <w:rPr>
          <w:bCs/>
          <w:lang w:val="sr-Cyrl-CS"/>
        </w:rPr>
        <w:t>периоде</w:t>
      </w:r>
      <w:r>
        <w:rPr>
          <w:bCs/>
          <w:lang w:val="sr-Cyrl-CS"/>
        </w:rPr>
        <w:t xml:space="preserve"> тај пораст изричитог одобравања </w:t>
      </w:r>
      <w:r w:rsidR="00965A97">
        <w:rPr>
          <w:bCs/>
          <w:lang w:val="sr-Cyrl-CS"/>
        </w:rPr>
        <w:t>се континуирано повећава</w:t>
      </w:r>
      <w:r>
        <w:rPr>
          <w:bCs/>
          <w:lang w:val="sr-Cyrl-CS"/>
        </w:rPr>
        <w:t>.</w:t>
      </w:r>
    </w:p>
    <w:p w:rsidR="00E27B82" w:rsidRDefault="00E27B82" w:rsidP="00E27B82">
      <w:pPr>
        <w:ind w:firstLine="720"/>
        <w:jc w:val="both"/>
        <w:rPr>
          <w:bCs/>
          <w:lang w:val="sr-Cyrl-CS"/>
        </w:rPr>
      </w:pPr>
    </w:p>
    <w:p w:rsidR="00E27B82" w:rsidRPr="00B41844" w:rsidRDefault="00E27B82" w:rsidP="00E27B82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У анкетном листу анкетирани корисници услуга могли су да </w:t>
      </w:r>
      <w:r w:rsidRPr="00BB5242">
        <w:rPr>
          <w:b/>
          <w:lang w:val="sr-Cyrl-CS"/>
        </w:rPr>
        <w:t>дају похвале, к</w:t>
      </w:r>
      <w:r>
        <w:rPr>
          <w:b/>
          <w:lang w:val="sr-Cyrl-CS"/>
        </w:rPr>
        <w:t>ритике и предлоге за побољшање.</w:t>
      </w:r>
    </w:p>
    <w:p w:rsidR="00E27B82" w:rsidRPr="00D35E0E" w:rsidRDefault="00965A97" w:rsidP="00E27B8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У 2020</w:t>
      </w:r>
      <w:r w:rsidR="00E27B82">
        <w:rPr>
          <w:lang w:val="sr-Cyrl-CS"/>
        </w:rPr>
        <w:t xml:space="preserve">. години </w:t>
      </w:r>
      <w:r w:rsidR="00E27B82" w:rsidRPr="00BB5242">
        <w:rPr>
          <w:b/>
          <w:lang w:val="sr-Cyrl-CS"/>
        </w:rPr>
        <w:t xml:space="preserve">похвале </w:t>
      </w:r>
      <w:r w:rsidR="00E27B82">
        <w:rPr>
          <w:lang w:val="sr-Cyrl-CS"/>
        </w:rPr>
        <w:t>су даване у општем смислу, као "похвала за све",</w:t>
      </w:r>
      <w:r>
        <w:rPr>
          <w:lang w:val="sr-Cyrl-CS"/>
        </w:rPr>
        <w:t xml:space="preserve"> "одлично"</w:t>
      </w:r>
      <w:r w:rsidR="00E27B82">
        <w:rPr>
          <w:lang w:val="sr-Cyrl-CS"/>
        </w:rPr>
        <w:t xml:space="preserve"> док </w:t>
      </w:r>
      <w:r w:rsidR="00E27B82" w:rsidRPr="004223B4">
        <w:rPr>
          <w:b/>
          <w:lang w:val="sr-Cyrl-CS"/>
        </w:rPr>
        <w:t>озбиљних</w:t>
      </w:r>
      <w:r w:rsidR="00E27B82">
        <w:rPr>
          <w:lang w:val="sr-Cyrl-CS"/>
        </w:rPr>
        <w:t xml:space="preserve"> </w:t>
      </w:r>
      <w:r w:rsidR="00E27B82" w:rsidRPr="00D35E0E">
        <w:rPr>
          <w:b/>
          <w:lang w:val="sr-Cyrl-CS"/>
        </w:rPr>
        <w:t>критика</w:t>
      </w:r>
      <w:r w:rsidR="00E27B82">
        <w:rPr>
          <w:b/>
          <w:lang w:val="sr-Cyrl-CS"/>
        </w:rPr>
        <w:t xml:space="preserve"> </w:t>
      </w:r>
      <w:r w:rsidR="00E27B82">
        <w:rPr>
          <w:lang w:val="sr-Cyrl-CS"/>
        </w:rPr>
        <w:t xml:space="preserve">или </w:t>
      </w:r>
      <w:r w:rsidR="00E27B82">
        <w:rPr>
          <w:b/>
          <w:lang w:val="sr-Cyrl-CS"/>
        </w:rPr>
        <w:t xml:space="preserve">приједлога за побољшања </w:t>
      </w:r>
      <w:r w:rsidRPr="00965A97">
        <w:rPr>
          <w:lang w:val="sr-Cyrl-CS"/>
        </w:rPr>
        <w:t>уопште</w:t>
      </w:r>
      <w:r>
        <w:rPr>
          <w:b/>
          <w:lang w:val="sr-Cyrl-CS"/>
        </w:rPr>
        <w:t xml:space="preserve"> </w:t>
      </w:r>
      <w:r w:rsidR="00E27B82">
        <w:rPr>
          <w:lang w:val="sr-Cyrl-CS"/>
        </w:rPr>
        <w:t>није било. Како и зашто се ово десило нема одговора, с обзиром да су анкетирани грађани у претходним годинама били расположни да дају приједлоге, али и критике.</w:t>
      </w:r>
    </w:p>
    <w:p w:rsidR="00E27B82" w:rsidRDefault="00E27B82" w:rsidP="00E27B82">
      <w:pPr>
        <w:ind w:left="57"/>
        <w:jc w:val="both"/>
        <w:rPr>
          <w:lang w:val="sr-Cyrl-CS"/>
        </w:rPr>
      </w:pPr>
      <w:r>
        <w:rPr>
          <w:lang w:val="sr-Cyrl-CS"/>
        </w:rPr>
        <w:tab/>
        <w:t xml:space="preserve">Имајући у виду одговоре на анкетна питања </w:t>
      </w:r>
      <w:r w:rsidR="005825AB">
        <w:rPr>
          <w:lang w:val="sr-Cyrl-CS"/>
        </w:rPr>
        <w:t xml:space="preserve">а </w:t>
      </w:r>
      <w:r>
        <w:rPr>
          <w:lang w:val="sr-Cyrl-CS"/>
        </w:rPr>
        <w:t>у циљу побољшања рада Градске управе  и Скупштине Града,</w:t>
      </w:r>
    </w:p>
    <w:p w:rsidR="00E27B82" w:rsidRDefault="00E27B82" w:rsidP="00E27B82">
      <w:pPr>
        <w:ind w:firstLine="720"/>
        <w:jc w:val="both"/>
        <w:rPr>
          <w:bCs/>
          <w:lang w:val="sr-Cyrl-CS"/>
        </w:rPr>
      </w:pPr>
    </w:p>
    <w:p w:rsidR="00E27B82" w:rsidRDefault="00E27B82" w:rsidP="00E27B82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ПРЕПОРУКЕ СУ СЛЕДЕЋЕ</w:t>
      </w:r>
      <w:r w:rsidRPr="00556824">
        <w:rPr>
          <w:b/>
          <w:bCs/>
          <w:lang w:val="sr-Cyrl-CS"/>
        </w:rPr>
        <w:t>:</w:t>
      </w:r>
    </w:p>
    <w:p w:rsidR="00E27B82" w:rsidRPr="00556824" w:rsidRDefault="00E27B82" w:rsidP="00E27B82">
      <w:pPr>
        <w:ind w:firstLine="720"/>
        <w:jc w:val="both"/>
        <w:rPr>
          <w:b/>
          <w:bCs/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- Даље развијати механизме  унапређења  комуникације локалне власти и грађана и уводити нове облике комуникације, односно примјене градске Одлуке, посебно у поступку доношења локалних прописа, узимајући у обзир позитивне трендове,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- У процесу ревизије интерне организације редовно разматрати потребе грађана и њихових удружења,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- Редовно користити расположиве начине укључивања грађана у процесе одлучивања у органима Града, посебно представнике мјесних заједница, невладиних организација и др.</w:t>
      </w: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- Даље унапређивати систем обука и професионалног усавршавања запослених, стицања вјештина неконфликтне комуникације са корисницима услуга,</w:t>
      </w:r>
    </w:p>
    <w:p w:rsidR="005825AB" w:rsidRDefault="005825AB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  <w:t>- Посебно обратити пажњу на ефикасност рада и одлучивања у процесу пружања услуга корисницима, у смислу унапређења односно скраћивања рокова рјешавања гдјегод је то могуће.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</w:r>
      <w:r w:rsidRPr="00763658">
        <w:rPr>
          <w:b/>
          <w:lang w:val="sr-Cyrl-CS"/>
        </w:rPr>
        <w:t>ПРИЛОГ:</w:t>
      </w:r>
      <w:r w:rsidR="00B8638E">
        <w:rPr>
          <w:lang w:val="sr-Cyrl-CS"/>
        </w:rPr>
        <w:t xml:space="preserve"> Анкетни упитници (148</w:t>
      </w:r>
      <w:r>
        <w:rPr>
          <w:lang w:val="sr-Cyrl-CS"/>
        </w:rPr>
        <w:t>)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b/>
          <w:bCs/>
          <w:lang w:val="sr-Cyrl-CS"/>
        </w:rPr>
      </w:pPr>
      <w:r w:rsidRPr="00556824">
        <w:rPr>
          <w:b/>
          <w:bCs/>
          <w:lang w:val="sr-Cyrl-CS"/>
        </w:rPr>
        <w:tab/>
        <w:t xml:space="preserve">Одбор за квалитет </w:t>
      </w:r>
      <w:r w:rsidR="00B8638E">
        <w:rPr>
          <w:b/>
          <w:bCs/>
          <w:lang w:val="sr-Cyrl-CS"/>
        </w:rPr>
        <w:t>на сједници одржаној 06. новембар 2020</w:t>
      </w:r>
      <w:r w:rsidRPr="00556824">
        <w:rPr>
          <w:b/>
          <w:bCs/>
          <w:lang w:val="sr-Cyrl-CS"/>
        </w:rPr>
        <w:t>. године ус</w:t>
      </w:r>
      <w:r>
        <w:rPr>
          <w:b/>
          <w:bCs/>
          <w:lang w:val="sr-Cyrl-CS"/>
        </w:rPr>
        <w:t>војио је ову Анализу</w:t>
      </w:r>
      <w:r w:rsidRPr="00556824">
        <w:rPr>
          <w:b/>
          <w:bCs/>
          <w:lang w:val="sr-Cyrl-CS"/>
        </w:rPr>
        <w:t>.</w:t>
      </w:r>
    </w:p>
    <w:p w:rsidR="00E27B82" w:rsidRPr="00556824" w:rsidRDefault="00E27B82" w:rsidP="00E27B82">
      <w:pPr>
        <w:jc w:val="both"/>
        <w:rPr>
          <w:b/>
          <w:bCs/>
          <w:lang w:val="sr-Cyrl-CS"/>
        </w:rPr>
      </w:pPr>
    </w:p>
    <w:p w:rsidR="00E27B82" w:rsidRDefault="00E27B82" w:rsidP="00E27B82">
      <w:pPr>
        <w:ind w:firstLine="720"/>
        <w:jc w:val="both"/>
        <w:rPr>
          <w:b/>
          <w:color w:val="FF0000"/>
          <w:lang w:val="ru-RU"/>
        </w:rPr>
      </w:pPr>
    </w:p>
    <w:p w:rsidR="00E27B82" w:rsidRDefault="00B8638E" w:rsidP="00E27B82">
      <w:pPr>
        <w:jc w:val="both"/>
        <w:rPr>
          <w:lang w:val="sr-Cyrl-CS"/>
        </w:rPr>
      </w:pPr>
      <w:r>
        <w:rPr>
          <w:lang w:val="sr-Cyrl-CS"/>
        </w:rPr>
        <w:t>Бијељина, 06. новембар 2020</w:t>
      </w:r>
      <w:r w:rsidR="00E27B82">
        <w:rPr>
          <w:lang w:val="sr-Cyrl-CS"/>
        </w:rPr>
        <w:t>.</w:t>
      </w:r>
      <w:r w:rsidR="00E27B82">
        <w:rPr>
          <w:lang w:val="sr-Cyrl-CS"/>
        </w:rPr>
        <w:tab/>
      </w:r>
      <w:r w:rsidR="00E27B82">
        <w:rPr>
          <w:lang w:val="sr-Cyrl-CS"/>
        </w:rPr>
        <w:tab/>
      </w:r>
      <w:r w:rsidR="00E27B82">
        <w:rPr>
          <w:lang w:val="sr-Cyrl-CS"/>
        </w:rPr>
        <w:tab/>
      </w:r>
      <w:r w:rsidR="00E27B82">
        <w:tab/>
      </w:r>
      <w:r w:rsidR="00E27B82">
        <w:rPr>
          <w:lang w:val="sr-Cyrl-CS"/>
        </w:rPr>
        <w:t>ПРЕДСТАВНИК РУКОВОДСТВА</w:t>
      </w: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>
        <w:rPr>
          <w:lang w:val="sr-Cyrl-CS"/>
        </w:rPr>
        <w:tab/>
        <w:t xml:space="preserve">   </w:t>
      </w:r>
      <w:r>
        <w:tab/>
        <w:t xml:space="preserve">   </w:t>
      </w:r>
      <w:r>
        <w:rPr>
          <w:lang w:val="sr-Cyrl-CS"/>
        </w:rPr>
        <w:t xml:space="preserve"> ЗА КВАЛИТЕТ</w:t>
      </w:r>
    </w:p>
    <w:p w:rsidR="00E27B82" w:rsidRDefault="00E27B82" w:rsidP="00E27B82">
      <w:pPr>
        <w:jc w:val="both"/>
        <w:rPr>
          <w:lang w:val="sr-Cyrl-CS"/>
        </w:rPr>
      </w:pPr>
    </w:p>
    <w:p w:rsidR="00E27B82" w:rsidRDefault="00E27B82" w:rsidP="00E27B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  <w:t xml:space="preserve">     </w:t>
      </w:r>
      <w:r>
        <w:tab/>
        <w:t xml:space="preserve">  </w:t>
      </w:r>
      <w:r>
        <w:rPr>
          <w:lang w:val="sr-Cyrl-CS"/>
        </w:rPr>
        <w:t xml:space="preserve"> </w:t>
      </w:r>
      <w:r>
        <w:t xml:space="preserve">   </w:t>
      </w:r>
      <w:r>
        <w:rPr>
          <w:lang w:val="sr-Cyrl-CS"/>
        </w:rPr>
        <w:t>Драган Вујић</w:t>
      </w:r>
    </w:p>
    <w:p w:rsidR="00591629" w:rsidRDefault="00591629"/>
    <w:sectPr w:rsidR="00591629" w:rsidSect="00144CD3">
      <w:footerReference w:type="even" r:id="rId7"/>
      <w:footerReference w:type="default" r:id="rId8"/>
      <w:pgSz w:w="12240" w:h="15840"/>
      <w:pgMar w:top="1260" w:right="1134" w:bottom="16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CA" w:rsidRDefault="00E849CA" w:rsidP="00EB315B">
      <w:r>
        <w:separator/>
      </w:r>
    </w:p>
  </w:endnote>
  <w:endnote w:type="continuationSeparator" w:id="0">
    <w:p w:rsidR="00E849CA" w:rsidRDefault="00E849CA" w:rsidP="00EB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D3" w:rsidRDefault="00CC363A" w:rsidP="00144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B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CD3" w:rsidRDefault="00E849CA" w:rsidP="00144C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D3" w:rsidRDefault="00CC363A" w:rsidP="00144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B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5AB">
      <w:rPr>
        <w:rStyle w:val="PageNumber"/>
        <w:noProof/>
      </w:rPr>
      <w:t>6</w:t>
    </w:r>
    <w:r>
      <w:rPr>
        <w:rStyle w:val="PageNumber"/>
      </w:rPr>
      <w:fldChar w:fldCharType="end"/>
    </w:r>
  </w:p>
  <w:p w:rsidR="00144CD3" w:rsidRDefault="00E849CA" w:rsidP="00144C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CA" w:rsidRDefault="00E849CA" w:rsidP="00EB315B">
      <w:r>
        <w:separator/>
      </w:r>
    </w:p>
  </w:footnote>
  <w:footnote w:type="continuationSeparator" w:id="0">
    <w:p w:rsidR="00E849CA" w:rsidRDefault="00E849CA" w:rsidP="00EB3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7FEE"/>
    <w:multiLevelType w:val="hybridMultilevel"/>
    <w:tmpl w:val="ED068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B82"/>
    <w:rsid w:val="000F0F6D"/>
    <w:rsid w:val="001831AE"/>
    <w:rsid w:val="001E1B93"/>
    <w:rsid w:val="00335849"/>
    <w:rsid w:val="0045016C"/>
    <w:rsid w:val="005825AB"/>
    <w:rsid w:val="00591629"/>
    <w:rsid w:val="006730E6"/>
    <w:rsid w:val="006C494C"/>
    <w:rsid w:val="00773095"/>
    <w:rsid w:val="007B0166"/>
    <w:rsid w:val="008A1BBB"/>
    <w:rsid w:val="009076E9"/>
    <w:rsid w:val="00924B23"/>
    <w:rsid w:val="00965A97"/>
    <w:rsid w:val="00B8638E"/>
    <w:rsid w:val="00BD048D"/>
    <w:rsid w:val="00C360C4"/>
    <w:rsid w:val="00C77089"/>
    <w:rsid w:val="00CC363A"/>
    <w:rsid w:val="00E27B82"/>
    <w:rsid w:val="00E849CA"/>
    <w:rsid w:val="00EB315B"/>
    <w:rsid w:val="00EE67DA"/>
    <w:rsid w:val="00F1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7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7B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7B82"/>
  </w:style>
  <w:style w:type="paragraph" w:styleId="NoSpacing">
    <w:name w:val="No Spacing"/>
    <w:uiPriority w:val="1"/>
    <w:qFormat/>
    <w:rsid w:val="00E27B82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</dc:creator>
  <cp:lastModifiedBy>Dragan Vujic</cp:lastModifiedBy>
  <cp:revision>13</cp:revision>
  <cp:lastPrinted>2020-11-10T06:46:00Z</cp:lastPrinted>
  <dcterms:created xsi:type="dcterms:W3CDTF">2020-11-10T06:38:00Z</dcterms:created>
  <dcterms:modified xsi:type="dcterms:W3CDTF">2020-11-11T08:13:00Z</dcterms:modified>
</cp:coreProperties>
</file>