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45" w:rsidRPr="00B67843" w:rsidRDefault="00AC5367" w:rsidP="00217E45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B67843">
        <w:rPr>
          <w:noProof/>
          <w:lang w:val="sr-Cyrl-CS"/>
        </w:rPr>
        <w:tab/>
      </w:r>
      <w:r w:rsidR="00180D66" w:rsidRPr="00B67843">
        <w:rPr>
          <w:b/>
          <w:noProof/>
          <w:lang w:val="sr-Cyrl-CS"/>
        </w:rPr>
        <w:t xml:space="preserve">                                                                                           </w:t>
      </w:r>
      <w:r w:rsidR="00C87BC2" w:rsidRPr="00B67843">
        <w:rPr>
          <w:b/>
          <w:noProof/>
          <w:lang w:val="sr-Cyrl-CS"/>
        </w:rPr>
        <w:t xml:space="preserve">                       </w:t>
      </w:r>
    </w:p>
    <w:p w:rsidR="00217E45" w:rsidRPr="00B67843" w:rsidRDefault="0026473C" w:rsidP="00AC5367">
      <w:pPr>
        <w:pStyle w:val="Header"/>
        <w:tabs>
          <w:tab w:val="left" w:pos="3495"/>
        </w:tabs>
        <w:rPr>
          <w:rFonts w:ascii="Bookman YU" w:hAnsi="Bookman YU" w:cs="Times New Roman"/>
          <w:noProof/>
          <w:lang w:val="sr-Cyrl-CS"/>
        </w:rPr>
      </w:pPr>
      <w:r>
        <w:rPr>
          <w:rFonts w:ascii="Bookman YU" w:hAnsi="Bookman YU" w:cs="Times New Roman"/>
        </w:rPr>
        <w:t xml:space="preserve">                           </w:t>
      </w:r>
      <w:r w:rsidRPr="006C1702">
        <w:rPr>
          <w:rFonts w:ascii="Bookman YU" w:hAnsi="Bookman YU" w:cs="Times New Roman"/>
        </w:rPr>
        <w:object w:dxaOrig="15288" w:dyaOrig="1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7.5pt" o:ole="">
            <v:imagedata r:id="rId8" o:title=""/>
          </v:shape>
          <o:OLEObject Type="Embed" ProgID="CorelDRAW.Graphic.14" ShapeID="_x0000_i1025" DrawAspect="Content" ObjectID="_1515495561" r:id="rId9"/>
        </w:object>
      </w:r>
    </w:p>
    <w:p w:rsidR="0026473C" w:rsidRDefault="008626B2" w:rsidP="0026473C">
      <w:pPr>
        <w:pStyle w:val="Header"/>
        <w:tabs>
          <w:tab w:val="left" w:pos="3495"/>
        </w:tabs>
        <w:rPr>
          <w:rFonts w:cs="Times New Roman"/>
          <w:noProof/>
          <w:lang w:val="bs-Latn-BA"/>
        </w:rPr>
      </w:pPr>
      <w:r w:rsidRPr="00B67843">
        <w:rPr>
          <w:rFonts w:ascii="Bookman YU" w:hAnsi="Bookman YU" w:cs="Times New Roman"/>
          <w:noProof/>
          <w:lang w:val="sr-Cyrl-CS"/>
        </w:rPr>
        <w:t xml:space="preserve">                           </w:t>
      </w:r>
    </w:p>
    <w:p w:rsidR="00AC5367" w:rsidRPr="00B67843" w:rsidRDefault="008626B2" w:rsidP="0026473C">
      <w:pPr>
        <w:pStyle w:val="Header"/>
        <w:tabs>
          <w:tab w:val="left" w:pos="3495"/>
        </w:tabs>
        <w:rPr>
          <w:b/>
          <w:noProof/>
          <w:sz w:val="26"/>
          <w:szCs w:val="26"/>
          <w:lang w:val="sr-Cyrl-CS"/>
        </w:rPr>
      </w:pPr>
      <w:r w:rsidRPr="00B67843">
        <w:rPr>
          <w:b/>
          <w:noProof/>
          <w:sz w:val="26"/>
          <w:szCs w:val="26"/>
          <w:lang w:val="sr-Cyrl-CS"/>
        </w:rPr>
        <w:t xml:space="preserve">                                </w:t>
      </w:r>
      <w:r w:rsidR="00B67843">
        <w:rPr>
          <w:b/>
          <w:noProof/>
          <w:sz w:val="26"/>
          <w:szCs w:val="26"/>
          <w:lang w:val="sr-Cyrl-CS"/>
        </w:rPr>
        <w:t>ТУРИСТИЧКА</w:t>
      </w:r>
      <w:r w:rsidR="00AC5367" w:rsidRPr="00B67843">
        <w:rPr>
          <w:b/>
          <w:noProof/>
          <w:sz w:val="26"/>
          <w:szCs w:val="26"/>
          <w:lang w:val="sr-Cyrl-CS"/>
        </w:rPr>
        <w:t xml:space="preserve"> </w:t>
      </w:r>
      <w:r w:rsidR="00B67843">
        <w:rPr>
          <w:b/>
          <w:noProof/>
          <w:sz w:val="26"/>
          <w:szCs w:val="26"/>
          <w:lang w:val="sr-Cyrl-CS"/>
        </w:rPr>
        <w:t>ОРГАНИЗАЦИЈА</w:t>
      </w:r>
      <w:r w:rsidR="00AC5367" w:rsidRPr="00B67843">
        <w:rPr>
          <w:b/>
          <w:noProof/>
          <w:sz w:val="26"/>
          <w:szCs w:val="26"/>
          <w:lang w:val="sr-Cyrl-CS"/>
        </w:rPr>
        <w:t xml:space="preserve"> </w:t>
      </w:r>
      <w:r w:rsidR="00B67843">
        <w:rPr>
          <w:b/>
          <w:noProof/>
          <w:sz w:val="26"/>
          <w:szCs w:val="26"/>
          <w:lang w:val="sr-Cyrl-CS"/>
        </w:rPr>
        <w:t>БИЈЕЉИНА</w:t>
      </w:r>
    </w:p>
    <w:tbl>
      <w:tblPr>
        <w:tblW w:w="9000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9000"/>
      </w:tblGrid>
      <w:tr w:rsidR="00AC5367" w:rsidRPr="00B67843" w:rsidTr="00215CF9">
        <w:trPr>
          <w:trHeight w:val="765"/>
        </w:trPr>
        <w:tc>
          <w:tcPr>
            <w:tcW w:w="90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C5367" w:rsidRPr="00B67843" w:rsidRDefault="00B67843" w:rsidP="00215CF9">
            <w:pPr>
              <w:jc w:val="center"/>
              <w:rPr>
                <w:noProof/>
                <w:sz w:val="18"/>
                <w:szCs w:val="18"/>
                <w:lang w:val="sr-Cyrl-CS"/>
              </w:rPr>
            </w:pPr>
            <w:r>
              <w:rPr>
                <w:b/>
                <w:noProof/>
                <w:sz w:val="18"/>
                <w:szCs w:val="18"/>
                <w:lang w:val="sr-Cyrl-CS"/>
              </w:rPr>
              <w:t>Кнеза</w:t>
            </w:r>
            <w:r w:rsidR="008E5E5C" w:rsidRPr="00B67843">
              <w:rPr>
                <w:b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noProof/>
                <w:sz w:val="18"/>
                <w:szCs w:val="18"/>
                <w:lang w:val="sr-Cyrl-CS"/>
              </w:rPr>
              <w:t>Милоша</w:t>
            </w:r>
            <w:r w:rsidR="008E5E5C" w:rsidRPr="00B67843">
              <w:rPr>
                <w:b/>
                <w:noProof/>
                <w:sz w:val="18"/>
                <w:szCs w:val="18"/>
                <w:lang w:val="sr-Cyrl-CS"/>
              </w:rPr>
              <w:t xml:space="preserve"> 30,</w:t>
            </w:r>
            <w:r>
              <w:rPr>
                <w:b/>
                <w:noProof/>
                <w:sz w:val="18"/>
                <w:szCs w:val="18"/>
                <w:lang w:val="sr-Cyrl-CS"/>
              </w:rPr>
              <w:t>Бијељина</w:t>
            </w:r>
            <w:r w:rsidR="00AC5367" w:rsidRPr="00B67843">
              <w:rPr>
                <w:noProof/>
                <w:sz w:val="18"/>
                <w:szCs w:val="18"/>
                <w:lang w:val="sr-Cyrl-CS"/>
              </w:rPr>
              <w:t xml:space="preserve">  </w:t>
            </w:r>
            <w:r>
              <w:rPr>
                <w:noProof/>
                <w:sz w:val="18"/>
                <w:szCs w:val="18"/>
                <w:lang w:val="sr-Cyrl-CS"/>
              </w:rPr>
              <w:t>Тел</w:t>
            </w:r>
            <w:r w:rsidR="00AC5367" w:rsidRPr="00B67843">
              <w:rPr>
                <w:noProof/>
                <w:sz w:val="18"/>
                <w:szCs w:val="18"/>
                <w:lang w:val="sr-Cyrl-CS"/>
              </w:rPr>
              <w:t xml:space="preserve">:+387 (0) 55/224-511, </w:t>
            </w:r>
            <w:r>
              <w:rPr>
                <w:noProof/>
                <w:sz w:val="18"/>
                <w:szCs w:val="18"/>
                <w:lang w:val="sr-Cyrl-CS"/>
              </w:rPr>
              <w:t>Факс</w:t>
            </w:r>
            <w:r w:rsidR="00AC5367" w:rsidRPr="00B67843">
              <w:rPr>
                <w:noProof/>
                <w:sz w:val="18"/>
                <w:szCs w:val="18"/>
                <w:lang w:val="sr-Cyrl-CS"/>
              </w:rPr>
              <w:t xml:space="preserve">: +381 (0) 55/224-510, </w:t>
            </w:r>
            <w:r>
              <w:rPr>
                <w:noProof/>
                <w:sz w:val="18"/>
                <w:szCs w:val="18"/>
                <w:lang w:val="sr-Cyrl-CS"/>
              </w:rPr>
              <w:t>ЈИБ</w:t>
            </w:r>
            <w:r w:rsidR="00BC6E41" w:rsidRPr="00B67843">
              <w:rPr>
                <w:noProof/>
                <w:sz w:val="18"/>
                <w:szCs w:val="18"/>
                <w:lang w:val="sr-Cyrl-CS"/>
              </w:rPr>
              <w:t xml:space="preserve"> 4402025790001</w:t>
            </w:r>
          </w:p>
          <w:p w:rsidR="00AC5367" w:rsidRPr="0026473C" w:rsidRDefault="00B67843" w:rsidP="00215CF9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bs-Latn-BA"/>
              </w:rPr>
            </w:pPr>
            <w:r>
              <w:rPr>
                <w:noProof/>
                <w:sz w:val="18"/>
                <w:szCs w:val="18"/>
                <w:lang w:val="sr-Cyrl-CS"/>
              </w:rPr>
              <w:t>е</w:t>
            </w:r>
            <w:r w:rsidR="00AC5367" w:rsidRPr="00B67843">
              <w:rPr>
                <w:noProof/>
                <w:sz w:val="18"/>
                <w:szCs w:val="18"/>
                <w:lang w:val="sr-Cyrl-CS"/>
              </w:rPr>
              <w:t>-</w:t>
            </w:r>
            <w:r>
              <w:rPr>
                <w:noProof/>
                <w:sz w:val="18"/>
                <w:szCs w:val="18"/>
                <w:lang w:val="sr-Cyrl-CS"/>
              </w:rPr>
              <w:t>маил</w:t>
            </w:r>
            <w:r w:rsidR="00AC5367" w:rsidRPr="00B67843">
              <w:rPr>
                <w:noProof/>
                <w:sz w:val="18"/>
                <w:szCs w:val="18"/>
                <w:lang w:val="sr-Cyrl-CS"/>
              </w:rPr>
              <w:t xml:space="preserve">: </w:t>
            </w:r>
            <w:hyperlink r:id="rId10" w:history="1">
              <w:r w:rsidR="0026473C" w:rsidRPr="00140494">
                <w:rPr>
                  <w:rStyle w:val="Hyperlink"/>
                  <w:noProof/>
                  <w:sz w:val="18"/>
                  <w:szCs w:val="18"/>
                  <w:lang w:val="bs-Latn-BA"/>
                </w:rPr>
                <w:t>turistbn</w:t>
              </w:r>
              <w:r w:rsidR="0026473C" w:rsidRPr="00140494">
                <w:rPr>
                  <w:rStyle w:val="Hyperlink"/>
                  <w:noProof/>
                  <w:sz w:val="18"/>
                  <w:szCs w:val="18"/>
                  <w:lang w:val="sr-Cyrl-CS"/>
                </w:rPr>
                <w:t>@</w:t>
              </w:r>
              <w:r w:rsidR="0026473C" w:rsidRPr="00140494">
                <w:rPr>
                  <w:rStyle w:val="Hyperlink"/>
                  <w:noProof/>
                  <w:sz w:val="18"/>
                  <w:szCs w:val="18"/>
                  <w:lang w:val="bs-Latn-BA"/>
                </w:rPr>
                <w:t>gmail.com</w:t>
              </w:r>
            </w:hyperlink>
            <w:r w:rsidR="0026473C">
              <w:rPr>
                <w:noProof/>
                <w:sz w:val="18"/>
                <w:szCs w:val="18"/>
                <w:lang w:val="bs-Latn-BA"/>
              </w:rPr>
              <w:t xml:space="preserve">  </w:t>
            </w:r>
            <w:r w:rsidR="00AC5367" w:rsidRPr="00B67843">
              <w:rPr>
                <w:b/>
                <w:noProof/>
                <w:sz w:val="20"/>
                <w:szCs w:val="20"/>
                <w:lang w:val="sr-Cyrl-CS"/>
              </w:rPr>
              <w:t>www.</w:t>
            </w:r>
            <w:r w:rsidR="0026473C">
              <w:rPr>
                <w:b/>
                <w:noProof/>
                <w:sz w:val="20"/>
                <w:szCs w:val="20"/>
                <w:lang w:val="bs-Latn-BA"/>
              </w:rPr>
              <w:t>bijeljinaturizam.com</w:t>
            </w:r>
          </w:p>
        </w:tc>
      </w:tr>
    </w:tbl>
    <w:p w:rsidR="00AC5367" w:rsidRPr="00B67843" w:rsidRDefault="00AC5367" w:rsidP="00AC5367">
      <w:pPr>
        <w:pStyle w:val="NoSpacing"/>
        <w:jc w:val="both"/>
        <w:rPr>
          <w:noProof/>
          <w:sz w:val="28"/>
          <w:szCs w:val="28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b/>
          <w:noProof/>
          <w:sz w:val="24"/>
          <w:szCs w:val="24"/>
          <w:lang w:val="sr-Cyrl-CS"/>
        </w:rPr>
      </w:pPr>
    </w:p>
    <w:p w:rsidR="00C87BC2" w:rsidRPr="00B67843" w:rsidRDefault="00C87BC2" w:rsidP="00AC5367">
      <w:pPr>
        <w:pStyle w:val="NoSpacing"/>
        <w:jc w:val="both"/>
        <w:rPr>
          <w:b/>
          <w:noProof/>
          <w:sz w:val="24"/>
          <w:szCs w:val="24"/>
          <w:lang w:val="sr-Cyrl-CS"/>
        </w:rPr>
      </w:pPr>
    </w:p>
    <w:p w:rsidR="00C87BC2" w:rsidRPr="00B67843" w:rsidRDefault="00C87BC2" w:rsidP="00AC5367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AC5367" w:rsidRPr="00B67843" w:rsidRDefault="00B67843" w:rsidP="00AC5367">
      <w:pPr>
        <w:pStyle w:val="NoSpacing"/>
        <w:jc w:val="both"/>
        <w:rPr>
          <w:b/>
          <w:noProof/>
          <w:sz w:val="32"/>
          <w:szCs w:val="32"/>
          <w:lang w:val="sr-Cyrl-CS"/>
        </w:rPr>
      </w:pPr>
      <w:r>
        <w:rPr>
          <w:b/>
          <w:noProof/>
          <w:sz w:val="32"/>
          <w:szCs w:val="32"/>
          <w:lang w:val="sr-Cyrl-CS"/>
        </w:rPr>
        <w:t>ИЗВЈЕШТАЈ</w:t>
      </w:r>
      <w:r w:rsidR="00AC5367" w:rsidRPr="00B67843">
        <w:rPr>
          <w:b/>
          <w:noProof/>
          <w:sz w:val="32"/>
          <w:szCs w:val="32"/>
          <w:lang w:val="sr-Cyrl-CS"/>
        </w:rPr>
        <w:t xml:space="preserve"> </w:t>
      </w:r>
      <w:r>
        <w:rPr>
          <w:b/>
          <w:noProof/>
          <w:sz w:val="32"/>
          <w:szCs w:val="32"/>
          <w:lang w:val="sr-Cyrl-CS"/>
        </w:rPr>
        <w:t>О</w:t>
      </w:r>
      <w:r w:rsidR="00AC5367" w:rsidRPr="00B67843">
        <w:rPr>
          <w:b/>
          <w:noProof/>
          <w:sz w:val="32"/>
          <w:szCs w:val="32"/>
          <w:lang w:val="sr-Cyrl-CS"/>
        </w:rPr>
        <w:t xml:space="preserve"> </w:t>
      </w:r>
      <w:r>
        <w:rPr>
          <w:b/>
          <w:noProof/>
          <w:sz w:val="32"/>
          <w:szCs w:val="32"/>
          <w:lang w:val="sr-Cyrl-CS"/>
        </w:rPr>
        <w:t>РАДУ</w:t>
      </w:r>
      <w:r w:rsidR="00AC5367" w:rsidRPr="00B67843">
        <w:rPr>
          <w:b/>
          <w:noProof/>
          <w:sz w:val="32"/>
          <w:szCs w:val="32"/>
          <w:lang w:val="sr-Cyrl-CS"/>
        </w:rPr>
        <w:t xml:space="preserve"> </w:t>
      </w:r>
      <w:r>
        <w:rPr>
          <w:b/>
          <w:noProof/>
          <w:sz w:val="32"/>
          <w:szCs w:val="32"/>
          <w:lang w:val="sr-Cyrl-CS"/>
        </w:rPr>
        <w:t>ТУРИСТИЧКЕ</w:t>
      </w:r>
      <w:r w:rsidR="00AC5367" w:rsidRPr="00B67843">
        <w:rPr>
          <w:b/>
          <w:noProof/>
          <w:sz w:val="32"/>
          <w:szCs w:val="32"/>
          <w:lang w:val="sr-Cyrl-CS"/>
        </w:rPr>
        <w:t xml:space="preserve"> </w:t>
      </w:r>
      <w:r>
        <w:rPr>
          <w:b/>
          <w:noProof/>
          <w:sz w:val="32"/>
          <w:szCs w:val="32"/>
          <w:lang w:val="sr-Cyrl-CS"/>
        </w:rPr>
        <w:t>ОРГАНИЗАЦИЈЕ</w:t>
      </w:r>
      <w:r w:rsidR="00AC5367" w:rsidRPr="00B67843">
        <w:rPr>
          <w:b/>
          <w:noProof/>
          <w:sz w:val="32"/>
          <w:szCs w:val="32"/>
          <w:lang w:val="sr-Cyrl-CS"/>
        </w:rPr>
        <w:t xml:space="preserve"> </w:t>
      </w:r>
      <w:r>
        <w:rPr>
          <w:b/>
          <w:noProof/>
          <w:sz w:val="32"/>
          <w:szCs w:val="32"/>
          <w:lang w:val="sr-Cyrl-CS"/>
        </w:rPr>
        <w:t>БИЈЕЉИНА</w:t>
      </w:r>
    </w:p>
    <w:p w:rsidR="00AC5367" w:rsidRPr="00B67843" w:rsidRDefault="00AC5367" w:rsidP="00AC5367">
      <w:pPr>
        <w:pStyle w:val="NoSpacing"/>
        <w:jc w:val="both"/>
        <w:rPr>
          <w:b/>
          <w:noProof/>
          <w:sz w:val="32"/>
          <w:szCs w:val="32"/>
          <w:lang w:val="sr-Cyrl-CS"/>
        </w:rPr>
      </w:pPr>
      <w:r w:rsidRPr="00B67843">
        <w:rPr>
          <w:b/>
          <w:noProof/>
          <w:sz w:val="32"/>
          <w:szCs w:val="32"/>
          <w:lang w:val="sr-Cyrl-CS"/>
        </w:rPr>
        <w:tab/>
      </w:r>
      <w:r w:rsidRPr="00B67843">
        <w:rPr>
          <w:b/>
          <w:noProof/>
          <w:sz w:val="32"/>
          <w:szCs w:val="32"/>
          <w:lang w:val="sr-Cyrl-CS"/>
        </w:rPr>
        <w:tab/>
      </w:r>
      <w:r w:rsidRPr="00B67843">
        <w:rPr>
          <w:b/>
          <w:noProof/>
          <w:sz w:val="32"/>
          <w:szCs w:val="32"/>
          <w:lang w:val="sr-Cyrl-CS"/>
        </w:rPr>
        <w:tab/>
      </w:r>
      <w:r w:rsidRPr="00B67843">
        <w:rPr>
          <w:b/>
          <w:noProof/>
          <w:sz w:val="32"/>
          <w:szCs w:val="32"/>
          <w:lang w:val="sr-Cyrl-CS"/>
        </w:rPr>
        <w:tab/>
      </w:r>
      <w:r w:rsidR="00B67843">
        <w:rPr>
          <w:b/>
          <w:noProof/>
          <w:sz w:val="32"/>
          <w:szCs w:val="32"/>
          <w:lang w:val="sr-Cyrl-CS"/>
        </w:rPr>
        <w:t>ЗА</w:t>
      </w:r>
      <w:r w:rsidR="001A4ED1" w:rsidRPr="00B67843">
        <w:rPr>
          <w:b/>
          <w:noProof/>
          <w:sz w:val="32"/>
          <w:szCs w:val="32"/>
          <w:lang w:val="sr-Cyrl-CS"/>
        </w:rPr>
        <w:t xml:space="preserve"> 201</w:t>
      </w:r>
      <w:r w:rsidR="007A35BD" w:rsidRPr="00B67843">
        <w:rPr>
          <w:b/>
          <w:noProof/>
          <w:sz w:val="32"/>
          <w:szCs w:val="32"/>
          <w:lang w:val="sr-Cyrl-CS"/>
        </w:rPr>
        <w:t>5</w:t>
      </w:r>
      <w:r w:rsidRPr="00B67843">
        <w:rPr>
          <w:b/>
          <w:noProof/>
          <w:sz w:val="32"/>
          <w:szCs w:val="32"/>
          <w:lang w:val="sr-Cyrl-CS"/>
        </w:rPr>
        <w:t xml:space="preserve">. </w:t>
      </w:r>
      <w:r w:rsidR="00B67843">
        <w:rPr>
          <w:b/>
          <w:noProof/>
          <w:sz w:val="32"/>
          <w:szCs w:val="32"/>
          <w:lang w:val="sr-Cyrl-CS"/>
        </w:rPr>
        <w:t>ГОДИНУ</w:t>
      </w:r>
      <w:r w:rsidRPr="00B67843">
        <w:rPr>
          <w:b/>
          <w:noProof/>
          <w:sz w:val="32"/>
          <w:szCs w:val="32"/>
          <w:lang w:val="sr-Cyrl-CS"/>
        </w:rPr>
        <w:tab/>
      </w: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D124A7" w:rsidRPr="00B67843" w:rsidRDefault="00D124A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D124A7" w:rsidRPr="00B67843" w:rsidRDefault="00D124A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8B52AB" w:rsidRPr="00B67843" w:rsidRDefault="008B52AB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AC5367" w:rsidRPr="00B67843" w:rsidRDefault="00AC5367" w:rsidP="00AC5367">
      <w:pPr>
        <w:pStyle w:val="NoSpacing"/>
        <w:jc w:val="both"/>
        <w:rPr>
          <w:noProof/>
          <w:sz w:val="32"/>
          <w:szCs w:val="32"/>
          <w:lang w:val="sr-Cyrl-CS"/>
        </w:rPr>
      </w:pPr>
    </w:p>
    <w:p w:rsidR="00631AB5" w:rsidRPr="00B67843" w:rsidRDefault="00B67843" w:rsidP="00CC5A92">
      <w:pPr>
        <w:pStyle w:val="NoSpacing"/>
        <w:ind w:hanging="11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БИЈЕЉИНА</w:t>
      </w:r>
      <w:r w:rsidR="00A15803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ЈАНУАР</w:t>
      </w:r>
      <w:r w:rsidR="008626B2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1A4ED1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201</w:t>
      </w:r>
      <w:r w:rsidR="007A35BD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6</w:t>
      </w:r>
      <w:r w:rsidR="001A4ED1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631AB5" w:rsidRPr="00B67843" w:rsidRDefault="00631AB5" w:rsidP="001E4A53">
      <w:pPr>
        <w:pStyle w:val="NoSpacing"/>
        <w:rPr>
          <w:noProof/>
          <w:sz w:val="24"/>
          <w:szCs w:val="24"/>
          <w:lang w:val="sr-Cyrl-CS"/>
        </w:rPr>
      </w:pPr>
    </w:p>
    <w:p w:rsidR="00631AB5" w:rsidRPr="00B67843" w:rsidRDefault="00B67843" w:rsidP="00FA0531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>С</w:t>
      </w:r>
      <w:r w:rsidR="00FA0531" w:rsidRPr="00B67843"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>А</w:t>
      </w:r>
      <w:r w:rsidR="00FA0531" w:rsidRPr="00B67843"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>Д</w:t>
      </w:r>
      <w:r w:rsidR="00FA0531" w:rsidRPr="00B67843"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>Р</w:t>
      </w:r>
      <w:r w:rsidR="00FA0531" w:rsidRPr="00B67843"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>Ж</w:t>
      </w:r>
      <w:r w:rsidR="00FA0531" w:rsidRPr="00B67843"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>А</w:t>
      </w:r>
      <w:r w:rsidR="00FA0531" w:rsidRPr="00B67843"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4"/>
          <w:lang w:val="sr-Cyrl-CS"/>
        </w:rPr>
        <w:t>Ј</w:t>
      </w:r>
    </w:p>
    <w:p w:rsidR="00FA0531" w:rsidRPr="00B67843" w:rsidRDefault="00FA0531" w:rsidP="00FA0531">
      <w:pPr>
        <w:pStyle w:val="NoSpacing"/>
        <w:jc w:val="center"/>
        <w:rPr>
          <w:rFonts w:ascii="Times New Roman" w:hAnsi="Times New Roman" w:cs="Times New Roman"/>
          <w:noProof/>
          <w:sz w:val="28"/>
          <w:szCs w:val="24"/>
          <w:lang w:val="sr-Cyrl-CS"/>
        </w:rPr>
      </w:pPr>
    </w:p>
    <w:p w:rsidR="00FA0531" w:rsidRPr="00B67843" w:rsidRDefault="00FA0531" w:rsidP="00FA0531">
      <w:pPr>
        <w:pStyle w:val="NoSpacing"/>
        <w:jc w:val="center"/>
        <w:rPr>
          <w:rFonts w:ascii="Times New Roman" w:hAnsi="Times New Roman" w:cs="Times New Roman"/>
          <w:noProof/>
          <w:sz w:val="28"/>
          <w:szCs w:val="24"/>
          <w:lang w:val="sr-Cyrl-CS"/>
        </w:rPr>
      </w:pPr>
    </w:p>
    <w:p w:rsidR="00FA0531" w:rsidRPr="00B67843" w:rsidRDefault="00FA0531" w:rsidP="00FA0531">
      <w:pPr>
        <w:pStyle w:val="NoSpacing"/>
        <w:jc w:val="center"/>
        <w:rPr>
          <w:rFonts w:ascii="Times New Roman" w:hAnsi="Times New Roman" w:cs="Times New Roman"/>
          <w:noProof/>
          <w:sz w:val="28"/>
          <w:szCs w:val="24"/>
          <w:lang w:val="sr-Cyrl-CS"/>
        </w:rPr>
      </w:pPr>
    </w:p>
    <w:p w:rsidR="00FA0531" w:rsidRPr="00B67843" w:rsidRDefault="00FA0531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A0531" w:rsidRPr="00B67843" w:rsidRDefault="00B67843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УВОД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="00C668A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     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</w:p>
    <w:p w:rsidR="00FA0531" w:rsidRPr="00B67843" w:rsidRDefault="00FA0531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A0531" w:rsidRPr="00B67843" w:rsidRDefault="00FA0531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A0531" w:rsidRPr="00B67843" w:rsidRDefault="00B67843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ИЗВЈЕШТАЈ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</w:t>
      </w:r>
      <w:r w:rsidR="00C668A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</w:p>
    <w:p w:rsidR="00FA0531" w:rsidRPr="00B67843" w:rsidRDefault="00FA0531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A0531" w:rsidRPr="00B67843" w:rsidRDefault="00FA0531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A0531" w:rsidRPr="00B67843" w:rsidRDefault="00B67843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РЕАЛИЗАЦИЈА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ОПЕРАТИВНОГ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ПЛАНА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</w:t>
      </w:r>
      <w:r w:rsidR="00C668A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</w:t>
      </w:r>
      <w:r w:rsidR="00681B8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1B8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68A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1B8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</w:p>
    <w:p w:rsidR="00FA0531" w:rsidRPr="00B67843" w:rsidRDefault="00FA0531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A0531" w:rsidRPr="00B67843" w:rsidRDefault="00FA0531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A0531" w:rsidRPr="00B67843" w:rsidRDefault="00B67843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ИНФОРМАТИВНО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ПРОПАГАДНА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ДЈЕЛАТНОСТ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</w:t>
      </w:r>
      <w:r w:rsidR="00C668A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68A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9</w:t>
      </w:r>
    </w:p>
    <w:p w:rsidR="00FA0531" w:rsidRPr="00B67843" w:rsidRDefault="00FA0531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A0531" w:rsidRPr="00B67843" w:rsidRDefault="00FA0531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A0531" w:rsidRPr="00B67843" w:rsidRDefault="00B67843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ОРГАНИЗОВАЊЕ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</w:t>
      </w:r>
      <w:r w:rsidR="00C668A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13</w:t>
      </w:r>
    </w:p>
    <w:p w:rsidR="00FA0531" w:rsidRPr="00B67843" w:rsidRDefault="00FA0531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A0531" w:rsidRPr="00B67843" w:rsidRDefault="00FA0531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A0531" w:rsidRPr="00B67843" w:rsidRDefault="00B67843" w:rsidP="00FA053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ФИНАНСИЈСКИ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ИЗВЈЕШТАЈ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15</w:t>
      </w: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FA0531" w:rsidRPr="00B67843" w:rsidRDefault="00FA0531" w:rsidP="001E4A53">
      <w:pPr>
        <w:pStyle w:val="NoSpacing"/>
        <w:rPr>
          <w:noProof/>
          <w:sz w:val="24"/>
          <w:szCs w:val="24"/>
          <w:lang w:val="sr-Cyrl-CS"/>
        </w:rPr>
      </w:pPr>
    </w:p>
    <w:p w:rsidR="00743B3B" w:rsidRPr="00B67843" w:rsidRDefault="00086C96" w:rsidP="00214909">
      <w:pPr>
        <w:pStyle w:val="NoSpacing"/>
        <w:jc w:val="center"/>
        <w:rPr>
          <w:b/>
          <w:noProof/>
          <w:sz w:val="24"/>
          <w:szCs w:val="24"/>
          <w:lang w:val="sr-Cyrl-CS"/>
        </w:rPr>
      </w:pPr>
      <w:r w:rsidRPr="00B67843">
        <w:rPr>
          <w:b/>
          <w:noProof/>
          <w:sz w:val="24"/>
          <w:szCs w:val="24"/>
          <w:lang w:val="sr-Cyrl-CS"/>
        </w:rPr>
        <w:t xml:space="preserve"> </w:t>
      </w:r>
      <w:r w:rsidR="00B67843">
        <w:rPr>
          <w:b/>
          <w:noProof/>
          <w:sz w:val="24"/>
          <w:szCs w:val="24"/>
          <w:lang w:val="sr-Cyrl-CS"/>
        </w:rPr>
        <w:t>УВОД</w:t>
      </w:r>
    </w:p>
    <w:p w:rsidR="00743B3B" w:rsidRPr="00B67843" w:rsidRDefault="00743B3B" w:rsidP="00743B3B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43B3B" w:rsidRPr="00B67843" w:rsidRDefault="00B67843" w:rsidP="00214909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Посматрајући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туризам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свјетлу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друштвених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економских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ефеката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прије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свега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бројност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учесника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туристичких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путовања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међународним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размјенама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запазити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туризам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налази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процесу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непресталних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снажних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промјена</w:t>
      </w:r>
      <w:r w:rsidR="00FA05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214909" w:rsidRPr="00B67843" w:rsidRDefault="00B67843" w:rsidP="00214909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Појава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нових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дестинација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избора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туристичког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производа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различити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мотиви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путовања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утицали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промјену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схватања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орјентације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обухватао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искључиво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једнократна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путовања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годишњег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одмора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Захваљујући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бањском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етно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транзитном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туризму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постао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значајна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дестинација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интересантна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већем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броју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туриста</w:t>
      </w:r>
      <w:r w:rsidR="0021490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Републичког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завода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статистику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поред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туриста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Србије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БиХ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Бијељину</w:t>
      </w:r>
      <w:r w:rsidR="00D93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D93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посјетили</w:t>
      </w:r>
      <w:r w:rsidR="00D93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93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</w:t>
      </w:r>
      <w:r w:rsidR="00D93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93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Словеније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Аустрије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Црне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Горе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Њемачке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Швајцарске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Турске</w:t>
      </w:r>
      <w:r w:rsidR="00C339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Македоније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Јапана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Шведске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Јужне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Кореје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итд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структури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страних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туриста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Србије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било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46%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туриста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Словеније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9,5%,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Хрватске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8,3%,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Швацарске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6,3%,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Аустрије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4,7%,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Горе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4,5%,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Њемачке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4,4%</w:t>
      </w:r>
      <w:r w:rsidR="00C339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Турске</w:t>
      </w:r>
      <w:r w:rsidR="00C339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4,3,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Македоније</w:t>
      </w:r>
      <w:r w:rsidR="00C339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4,2%.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значај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односу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комплементаре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вриједности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повољан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јер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налази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одличном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саобраћајном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положају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тачније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велика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раскрсница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али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БиХ</w:t>
      </w:r>
      <w:r w:rsidR="005172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ED5D58" w:rsidRPr="00B67843" w:rsidRDefault="00B67843" w:rsidP="00214909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дођу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наш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посјете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Етно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село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Станишићи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Бању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Дворове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Семберски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салаш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вјерске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објекте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Музеј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Семберија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градски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парк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смјештаја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добити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пет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хотела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девет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мотела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једном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хостелу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два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преноћишта</w:t>
      </w:r>
      <w:r w:rsidR="002531C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идва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пансиона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2531C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укупно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856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лежајева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подацима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Завода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статистику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мотел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Зеленовић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мотел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Ристић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преноћиште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Ђокић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пансион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Мали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рај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пансион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Осса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хостел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Томић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одјавили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смјештаја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тиме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спањили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расположивост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смјештајних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капацитета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856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744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лежаја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последњим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објављеним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подацима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Републичког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завода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статистику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евидентираних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лежајева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Републици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Српској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9436.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односу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укупну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понуду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лежајева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Републици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Српској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око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8%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лежајева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Просјечна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искориштеност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смјештајних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капацитета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16,51%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испод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просјека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F215C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17228" w:rsidRPr="00B67843" w:rsidRDefault="00517228" w:rsidP="00214909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43B3B" w:rsidRPr="00B67843" w:rsidRDefault="00743B3B" w:rsidP="000A0CC4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43B3B" w:rsidRPr="00B67843" w:rsidRDefault="00B67843" w:rsidP="00217E45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Извјештај</w:t>
      </w:r>
      <w:r w:rsidR="00217E45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217E45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раду</w:t>
      </w:r>
    </w:p>
    <w:p w:rsidR="00217E45" w:rsidRPr="00B67843" w:rsidRDefault="00217E45" w:rsidP="00217E45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217E45" w:rsidRPr="00B67843" w:rsidRDefault="00B67843" w:rsidP="00217E45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262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донешен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26473C">
        <w:rPr>
          <w:rFonts w:ascii="Times New Roman" w:hAnsi="Times New Roman" w:cs="Times New Roman"/>
          <w:noProof/>
          <w:sz w:val="24"/>
          <w:szCs w:val="24"/>
          <w:lang w:val="bs-Latn-BA"/>
        </w:rPr>
        <w:t>,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детаљније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регулише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оснивања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Туристичких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локаних</w:t>
      </w:r>
      <w:r w:rsidR="00262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заједница</w:t>
      </w:r>
      <w:r w:rsidR="00262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</w:t>
      </w:r>
      <w:r w:rsidR="00262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оснивања</w:t>
      </w:r>
      <w:r w:rsidR="00262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Туристичких</w:t>
      </w:r>
      <w:r w:rsidR="00262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Закону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туризму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РС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217E45" w:rsidRPr="00B67843" w:rsidRDefault="00B67843" w:rsidP="00217E4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промоције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туристичког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производа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локалне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самоуправе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                                                                                                                                                </w:t>
      </w:r>
    </w:p>
    <w:p w:rsidR="00217E45" w:rsidRPr="00B67843" w:rsidRDefault="00B67843" w:rsidP="00217E4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подстицања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унапређивања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постојећег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туристичког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производа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217E45" w:rsidRPr="00B67843" w:rsidRDefault="00B67843" w:rsidP="00217E4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подстицања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унапређивања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новог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туристичког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производа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217E45" w:rsidRPr="00B67843" w:rsidRDefault="00B67843" w:rsidP="00217E4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EB657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унапређивања</w:t>
      </w:r>
      <w:r w:rsidR="00EB657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развијања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свијести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значају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EB657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привредним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EB657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друштвеним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EB657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културним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мултипликативним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ефектима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цјелокупни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привредни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систем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</w:p>
    <w:p w:rsidR="00217E45" w:rsidRPr="00B67843" w:rsidRDefault="00B67843" w:rsidP="00217E4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унапређивање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општих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боравка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пружања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информација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туристима</w:t>
      </w:r>
    </w:p>
    <w:p w:rsidR="00217E45" w:rsidRPr="00B67843" w:rsidRDefault="00B67843" w:rsidP="00217E4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чланом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66</w:t>
      </w:r>
      <w:r w:rsidR="00262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истог</w:t>
      </w:r>
      <w:r w:rsidR="00262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предвиђена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могућност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између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осталог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организују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приредбе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продају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сувенире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карте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брошуре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осим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сопственог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промотивног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217E45" w:rsidRPr="00B67843" w:rsidRDefault="00B67843" w:rsidP="00F26013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почела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радом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02.10.2003.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улици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Кнеза</w:t>
      </w:r>
      <w:r w:rsidR="008D5C6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Милоша</w:t>
      </w:r>
      <w:r w:rsidR="008D5C6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8D5C6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30</w:t>
      </w:r>
      <w:r w:rsidR="00A43E3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217E45" w:rsidRPr="00B67843" w:rsidRDefault="00B67843" w:rsidP="00217E45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Туристичка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организациаја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основана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вршења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очувања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туристичких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вриједности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="00217E4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ED5D58" w:rsidRPr="00B67843" w:rsidRDefault="00ED5D58" w:rsidP="00217E45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ED5D58" w:rsidRPr="00B67843" w:rsidRDefault="00ED5D58" w:rsidP="00217E45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675B77" w:rsidRPr="00B67843" w:rsidRDefault="00B67843" w:rsidP="002D0B1A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Унутрашња</w:t>
      </w:r>
      <w:r w:rsidR="00224886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структура</w:t>
      </w:r>
      <w:r w:rsidR="00224886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Туристичке</w:t>
      </w:r>
      <w:r w:rsidR="00224886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организације</w:t>
      </w:r>
    </w:p>
    <w:p w:rsidR="00F92A5C" w:rsidRPr="00B67843" w:rsidRDefault="00F92A5C" w:rsidP="002D0B1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24886" w:rsidRPr="00B67843" w:rsidRDefault="00B67843" w:rsidP="002D0B1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РАДНО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МЈЕСТО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ab/>
      </w:r>
      <w:r w:rsidR="00F934EE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број</w:t>
      </w:r>
      <w:r w:rsidR="00F934EE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радника</w:t>
      </w:r>
      <w:r w:rsidR="00F934EE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стручна</w:t>
      </w:r>
      <w:r w:rsidR="00F934EE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спрема</w:t>
      </w:r>
    </w:p>
    <w:p w:rsidR="00224886" w:rsidRPr="00B67843" w:rsidRDefault="00B67843" w:rsidP="002D0B1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22488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F934E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ВСС</w:t>
      </w:r>
    </w:p>
    <w:p w:rsidR="00224886" w:rsidRPr="00B67843" w:rsidRDefault="00B67843" w:rsidP="002D0B1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Замјеник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22488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>1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F934E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ВСС</w:t>
      </w:r>
    </w:p>
    <w:p w:rsidR="00224886" w:rsidRPr="00B67843" w:rsidRDefault="00B67843" w:rsidP="002D0B1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Рачуновођа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22488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ВСС</w:t>
      </w:r>
    </w:p>
    <w:p w:rsidR="00224886" w:rsidRPr="00B67843" w:rsidRDefault="00B67843" w:rsidP="002D0B1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Референт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маркетинг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22488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ВСС</w:t>
      </w:r>
    </w:p>
    <w:p w:rsidR="00224886" w:rsidRPr="00B67843" w:rsidRDefault="00B67843" w:rsidP="002D0B1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Технички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секретар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ab/>
      </w:r>
      <w:r w:rsidR="00224886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ab/>
        <w:t>1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______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ab/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ССС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u w:val="single"/>
          <w:lang w:val="sr-Cyrl-CS"/>
        </w:rPr>
        <w:t>_</w:t>
      </w:r>
    </w:p>
    <w:p w:rsidR="001E4A53" w:rsidRPr="00B67843" w:rsidRDefault="00B67843" w:rsidP="002D0B1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УКУПНО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D124A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8</w:t>
      </w:r>
    </w:p>
    <w:p w:rsidR="007249DD" w:rsidRPr="00B67843" w:rsidRDefault="00D124A7" w:rsidP="002D0B1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:rsidR="00F92A5C" w:rsidRPr="00B67843" w:rsidRDefault="007249DD" w:rsidP="002D0B1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:rsidR="007249DD" w:rsidRPr="00B67843" w:rsidRDefault="00B67843" w:rsidP="002D0B1A">
      <w:pPr>
        <w:pStyle w:val="NoSpacing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Управни</w:t>
      </w:r>
      <w:r w:rsidR="008B52AB" w:rsidRPr="00B67843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одбор</w:t>
      </w:r>
    </w:p>
    <w:p w:rsidR="007249DD" w:rsidRPr="00B67843" w:rsidRDefault="007249DD" w:rsidP="007249DD">
      <w:pPr>
        <w:pStyle w:val="NoSpacing"/>
        <w:rPr>
          <w:noProof/>
          <w:sz w:val="24"/>
          <w:szCs w:val="24"/>
          <w:lang w:val="sr-Cyrl-CS"/>
        </w:rPr>
      </w:pPr>
    </w:p>
    <w:p w:rsidR="004A35BD" w:rsidRPr="00B67843" w:rsidRDefault="00B67843" w:rsidP="003F11DD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Управни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чланова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41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="00A41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</w:t>
      </w:r>
      <w:r w:rsidR="007A35B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06726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06726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одржано</w:t>
      </w:r>
      <w:r w:rsidR="0006726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девет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сједница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Управног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одбора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донешене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E24C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22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4B233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="007249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8451B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="008451B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="00EE24C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донешене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262F5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једногласно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Донешене</w:t>
      </w:r>
      <w:r w:rsidR="008451B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="008451B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Управног</w:t>
      </w:r>
      <w:r w:rsidR="008451B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одбора</w:t>
      </w:r>
      <w:r w:rsidR="008451B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451B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тичу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углавном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проблематике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пословања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исте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имале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дефинишу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тренутне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будуће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циљеве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цјелини</w:t>
      </w:r>
      <w:r w:rsidR="00623EF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ED5D58" w:rsidRPr="00B67843" w:rsidRDefault="00ED5D58" w:rsidP="003F11DD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ED5D58" w:rsidRPr="00B67843" w:rsidRDefault="00ED5D58" w:rsidP="003F11DD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17E45" w:rsidRPr="00B67843" w:rsidRDefault="00217E45" w:rsidP="00ED5D58">
      <w:pPr>
        <w:pStyle w:val="NoSpacing"/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D0B1A" w:rsidRPr="00B67843" w:rsidRDefault="00B67843" w:rsidP="00ED5D58">
      <w:pPr>
        <w:pStyle w:val="NoSpacing"/>
        <w:ind w:left="-624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РЕАЛИЗАЦИЈА</w:t>
      </w:r>
      <w:r w:rsidR="002D0B1A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ОПЕРАТИВНОГ</w:t>
      </w:r>
      <w:r w:rsidR="002D0B1A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ПЛАНА</w:t>
      </w:r>
    </w:p>
    <w:p w:rsidR="002D0B1A" w:rsidRPr="00B67843" w:rsidRDefault="002D0B1A" w:rsidP="000A0CC4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44D46" w:rsidRPr="00B67843" w:rsidRDefault="00B67843" w:rsidP="000A0CC4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оквиру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Оперативног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плана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годину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реализовала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већину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планираних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Реализовано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неколико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нису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биле</w:t>
      </w:r>
      <w:r w:rsidR="002D0B1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наведене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Плану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C80F1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C80F1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Стратегију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2012-2017.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</w:t>
      </w:r>
      <w:r w:rsidR="00A92E9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="00A92E9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92E9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="00A92E9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A92E9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израду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промотивног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туристичког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филма</w:t>
      </w:r>
      <w:r w:rsidR="00A92E9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92E9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циљу</w:t>
      </w:r>
      <w:r w:rsidR="00A92E9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пружања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информација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Бијељини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туристичкој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дестинацији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свим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заинтересованим</w:t>
      </w:r>
      <w:r w:rsidR="00C77AB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туристима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244D46" w:rsidRPr="00B67843" w:rsidRDefault="00244D46" w:rsidP="000A0CC4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урадила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следеће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циљеве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Стратегије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развоја</w:t>
      </w:r>
      <w:r w:rsidR="00ED5D5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244D46" w:rsidRPr="00B67843" w:rsidRDefault="00B67843" w:rsidP="00DA21A9">
      <w:pPr>
        <w:pStyle w:val="NoSpacing"/>
        <w:numPr>
          <w:ilvl w:val="0"/>
          <w:numId w:val="12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Урађена</w:t>
      </w:r>
      <w:r w:rsidR="00217E45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217E45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база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података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броју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долазака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ноћења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домаћих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страних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основу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континуираног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истраживања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туристичке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тражње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92E90" w:rsidRPr="00B67843" w:rsidRDefault="00A92E90" w:rsidP="00A92E90">
      <w:pPr>
        <w:pStyle w:val="NoSpacing"/>
        <w:ind w:left="851"/>
        <w:jc w:val="both"/>
        <w:rPr>
          <w:rFonts w:ascii="Calibri" w:eastAsia="Calibri" w:hAnsi="Calibri" w:cs="Times New Roman"/>
          <w:noProof/>
          <w:sz w:val="24"/>
          <w:szCs w:val="24"/>
          <w:lang w:val="sr-Cyrl-CS"/>
        </w:rPr>
      </w:pPr>
    </w:p>
    <w:tbl>
      <w:tblPr>
        <w:tblW w:w="9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1"/>
        <w:gridCol w:w="3041"/>
        <w:gridCol w:w="3041"/>
      </w:tblGrid>
      <w:tr w:rsidR="00244D46" w:rsidRPr="00B67843" w:rsidTr="00244D46">
        <w:tc>
          <w:tcPr>
            <w:tcW w:w="3121" w:type="dxa"/>
          </w:tcPr>
          <w:p w:rsidR="00244D46" w:rsidRPr="00B67843" w:rsidRDefault="00B67843" w:rsidP="00215CF9">
            <w:pPr>
              <w:pStyle w:val="NoSpacing"/>
              <w:jc w:val="both"/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Назив</w:t>
            </w:r>
            <w:r w:rsidR="00244D46"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041" w:type="dxa"/>
          </w:tcPr>
          <w:p w:rsidR="00244D46" w:rsidRPr="00B67843" w:rsidRDefault="00C77ABC" w:rsidP="00244D46">
            <w:pPr>
              <w:pStyle w:val="NoSpacing"/>
              <w:jc w:val="right"/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01.01.-31.12.2014</w:t>
            </w:r>
            <w:r w:rsidR="00244D46"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.</w:t>
            </w:r>
            <w:r w:rsid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год</w:t>
            </w:r>
          </w:p>
        </w:tc>
        <w:tc>
          <w:tcPr>
            <w:tcW w:w="3041" w:type="dxa"/>
          </w:tcPr>
          <w:p w:rsidR="00244D46" w:rsidRPr="00B67843" w:rsidRDefault="00C77ABC" w:rsidP="00215CF9">
            <w:pPr>
              <w:pStyle w:val="NoSpacing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01.01.-31.12.2015</w:t>
            </w:r>
            <w:r w:rsidR="00244D46"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.</w:t>
            </w:r>
            <w:r w:rsid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год</w:t>
            </w:r>
          </w:p>
        </w:tc>
      </w:tr>
      <w:tr w:rsidR="00C77ABC" w:rsidRPr="00B67843" w:rsidTr="00244D46">
        <w:tc>
          <w:tcPr>
            <w:tcW w:w="3121" w:type="dxa"/>
          </w:tcPr>
          <w:p w:rsidR="00C77ABC" w:rsidRPr="00B67843" w:rsidRDefault="00B67843" w:rsidP="00C77ABC">
            <w:pPr>
              <w:pStyle w:val="NoSpacing"/>
              <w:jc w:val="both"/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Број</w:t>
            </w:r>
            <w:r w:rsidR="00C77ABC"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долазака</w:t>
            </w:r>
            <w:r w:rsidR="00C77ABC"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туриста</w:t>
            </w:r>
          </w:p>
        </w:tc>
        <w:tc>
          <w:tcPr>
            <w:tcW w:w="3041" w:type="dxa"/>
          </w:tcPr>
          <w:p w:rsidR="00C77ABC" w:rsidRPr="00B67843" w:rsidRDefault="00C77ABC" w:rsidP="00C77ABC">
            <w:pPr>
              <w:pStyle w:val="NoSpacing"/>
              <w:jc w:val="right"/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21.782</w:t>
            </w:r>
          </w:p>
        </w:tc>
        <w:tc>
          <w:tcPr>
            <w:tcW w:w="3041" w:type="dxa"/>
          </w:tcPr>
          <w:p w:rsidR="00C77ABC" w:rsidRPr="00B67843" w:rsidRDefault="00A43E3F" w:rsidP="00A43E3F">
            <w:pPr>
              <w:pStyle w:val="NoSpacing"/>
              <w:jc w:val="right"/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23.355</w:t>
            </w:r>
          </w:p>
        </w:tc>
      </w:tr>
      <w:tr w:rsidR="00C77ABC" w:rsidRPr="00B67843" w:rsidTr="00244D46">
        <w:tc>
          <w:tcPr>
            <w:tcW w:w="3121" w:type="dxa"/>
          </w:tcPr>
          <w:p w:rsidR="00C77ABC" w:rsidRPr="00B67843" w:rsidRDefault="00B67843" w:rsidP="00C77ABC">
            <w:pPr>
              <w:pStyle w:val="NoSpacing"/>
              <w:jc w:val="both"/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Број</w:t>
            </w:r>
            <w:r w:rsidR="00C77ABC"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остварених</w:t>
            </w:r>
            <w:r w:rsidR="00C77ABC"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ноћења</w:t>
            </w:r>
          </w:p>
        </w:tc>
        <w:tc>
          <w:tcPr>
            <w:tcW w:w="3041" w:type="dxa"/>
          </w:tcPr>
          <w:p w:rsidR="00C77ABC" w:rsidRPr="00B67843" w:rsidRDefault="00C77ABC" w:rsidP="00C77ABC">
            <w:pPr>
              <w:pStyle w:val="NoSpacing"/>
              <w:jc w:val="right"/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40.251</w:t>
            </w:r>
          </w:p>
        </w:tc>
        <w:tc>
          <w:tcPr>
            <w:tcW w:w="3041" w:type="dxa"/>
          </w:tcPr>
          <w:p w:rsidR="00C77ABC" w:rsidRPr="00B67843" w:rsidRDefault="00A43E3F" w:rsidP="00A43E3F">
            <w:pPr>
              <w:pStyle w:val="NoSpacing"/>
              <w:jc w:val="right"/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Calibri" w:eastAsia="Calibri" w:hAnsi="Calibri" w:cs="Times New Roman"/>
                <w:noProof/>
                <w:sz w:val="24"/>
                <w:szCs w:val="24"/>
                <w:lang w:val="sr-Cyrl-CS"/>
              </w:rPr>
              <w:t>44.546</w:t>
            </w:r>
          </w:p>
        </w:tc>
      </w:tr>
    </w:tbl>
    <w:p w:rsidR="006B0D09" w:rsidRPr="00B67843" w:rsidRDefault="006B0D09" w:rsidP="00244D46">
      <w:pPr>
        <w:pStyle w:val="NoSpacing"/>
        <w:jc w:val="both"/>
        <w:rPr>
          <w:rFonts w:ascii="Calibri" w:eastAsia="Calibri" w:hAnsi="Calibri" w:cs="Times New Roman"/>
          <w:noProof/>
          <w:sz w:val="16"/>
          <w:szCs w:val="16"/>
          <w:lang w:val="sr-Cyrl-CS"/>
        </w:rPr>
      </w:pPr>
    </w:p>
    <w:p w:rsidR="003874B7" w:rsidRPr="00B67843" w:rsidRDefault="003874B7" w:rsidP="00244D46">
      <w:pPr>
        <w:pStyle w:val="NoSpacing"/>
        <w:jc w:val="both"/>
        <w:rPr>
          <w:rFonts w:ascii="Calibri" w:eastAsia="Calibri" w:hAnsi="Calibri" w:cs="Times New Roman"/>
          <w:noProof/>
          <w:sz w:val="16"/>
          <w:szCs w:val="16"/>
          <w:lang w:val="sr-Cyrl-CS"/>
        </w:rPr>
      </w:pPr>
    </w:p>
    <w:p w:rsidR="003874B7" w:rsidRPr="00B67843" w:rsidRDefault="003874B7" w:rsidP="00244D46">
      <w:pPr>
        <w:pStyle w:val="NoSpacing"/>
        <w:jc w:val="both"/>
        <w:rPr>
          <w:rFonts w:ascii="Calibri" w:eastAsia="Calibri" w:hAnsi="Calibri" w:cs="Times New Roman"/>
          <w:noProof/>
          <w:sz w:val="16"/>
          <w:szCs w:val="16"/>
          <w:lang w:val="sr-Cyrl-CS"/>
        </w:rPr>
      </w:pPr>
      <w:r w:rsidRPr="00B67843">
        <w:rPr>
          <w:rFonts w:ascii="Calibri" w:eastAsia="Calibri" w:hAnsi="Calibri" w:cs="Times New Roman"/>
          <w:noProof/>
          <w:sz w:val="16"/>
          <w:szCs w:val="16"/>
          <w:lang w:val="en-US"/>
        </w:rPr>
        <w:lastRenderedPageBreak/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74B7" w:rsidRPr="00B67843" w:rsidRDefault="003874B7" w:rsidP="00244D46">
      <w:pPr>
        <w:pStyle w:val="NoSpacing"/>
        <w:jc w:val="both"/>
        <w:rPr>
          <w:rFonts w:ascii="Calibri" w:eastAsia="Calibri" w:hAnsi="Calibri" w:cs="Times New Roman"/>
          <w:noProof/>
          <w:sz w:val="16"/>
          <w:szCs w:val="16"/>
          <w:lang w:val="sr-Cyrl-CS"/>
        </w:rPr>
      </w:pPr>
    </w:p>
    <w:p w:rsidR="003874B7" w:rsidRPr="00B67843" w:rsidRDefault="003874B7" w:rsidP="00244D46">
      <w:pPr>
        <w:pStyle w:val="NoSpacing"/>
        <w:jc w:val="both"/>
        <w:rPr>
          <w:rFonts w:ascii="Calibri" w:eastAsia="Calibri" w:hAnsi="Calibri" w:cs="Times New Roman"/>
          <w:noProof/>
          <w:sz w:val="16"/>
          <w:szCs w:val="16"/>
          <w:lang w:val="sr-Cyrl-CS"/>
        </w:rPr>
      </w:pPr>
    </w:p>
    <w:p w:rsidR="00190591" w:rsidRPr="00B67843" w:rsidRDefault="00B67843" w:rsidP="00A333D1">
      <w:pPr>
        <w:pStyle w:val="NoSpacing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Анализирајући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податке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броју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долазака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оствареном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броју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ноћења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D5CE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дошло</w:t>
      </w:r>
      <w:r w:rsidR="007D5CE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</w:t>
      </w:r>
      <w:r w:rsidR="007D5CE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повећања</w:t>
      </w:r>
      <w:r w:rsidR="007D5CE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7D5CE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7D5CE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7D5CE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односу</w:t>
      </w:r>
      <w:r w:rsidR="007D5CE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7D5CE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2014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74B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1,07%,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односно</w:t>
      </w:r>
      <w:r w:rsidR="003874B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1,11%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 </w:t>
      </w:r>
    </w:p>
    <w:p w:rsidR="00190591" w:rsidRPr="00B67843" w:rsidRDefault="00190591" w:rsidP="00A333D1">
      <w:pPr>
        <w:pStyle w:val="NoSpacing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A333D1" w:rsidRPr="00B67843" w:rsidRDefault="00B67843" w:rsidP="00A333D1">
      <w:pPr>
        <w:pStyle w:val="NoSpacing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укупног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броја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гостију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13.546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били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домаћи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58%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односу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укупан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док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Бијељину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посјетили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9.809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страних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42%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односу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укупан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D93F5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190591" w:rsidRPr="00B67843" w:rsidRDefault="00190591" w:rsidP="00A333D1">
      <w:pPr>
        <w:pStyle w:val="NoSpacing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93F5E" w:rsidRPr="00B67843" w:rsidRDefault="00D93F5E" w:rsidP="00A333D1">
      <w:pPr>
        <w:pStyle w:val="NoSpacing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93F5E" w:rsidRPr="00B67843" w:rsidRDefault="00190591" w:rsidP="00A333D1">
      <w:pPr>
        <w:pStyle w:val="NoSpacing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5D58" w:rsidRPr="00B67843" w:rsidRDefault="00ED5D58" w:rsidP="00D93F5E">
      <w:pPr>
        <w:pStyle w:val="NoSpacing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769E2" w:rsidRPr="00B67843" w:rsidRDefault="000769E2" w:rsidP="006B0D09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769E2" w:rsidRPr="00B67843" w:rsidRDefault="000769E2" w:rsidP="006B0D09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90591" w:rsidRPr="00B67843" w:rsidRDefault="00190591" w:rsidP="00190591">
      <w:pPr>
        <w:pStyle w:val="NoSpacing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90591" w:rsidRPr="00B67843" w:rsidRDefault="00B67843" w:rsidP="00190591">
      <w:pPr>
        <w:pStyle w:val="NoSpacing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Од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укупног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броја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реализованих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ноћења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домаћи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остарили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23.609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ноћења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страни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остварили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20.937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ноћења</w:t>
      </w:r>
    </w:p>
    <w:p w:rsidR="000769E2" w:rsidRPr="00B67843" w:rsidRDefault="000769E2" w:rsidP="006B0D09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769E2" w:rsidRPr="00B67843" w:rsidRDefault="000769E2" w:rsidP="006B0D09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769E2" w:rsidRPr="00B67843" w:rsidRDefault="000769E2" w:rsidP="006B0D09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69E2" w:rsidRPr="00B67843" w:rsidRDefault="000769E2" w:rsidP="006B0D09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769E2" w:rsidRPr="00B67843" w:rsidRDefault="000769E2" w:rsidP="006B0D09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B0D09" w:rsidRPr="00B67843" w:rsidRDefault="00B67843" w:rsidP="006B0D09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</w:t>
      </w:r>
      <w:r w:rsidR="006B0D0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долазака</w:t>
      </w:r>
      <w:r w:rsidR="006B0D0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6B0D0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ноћења</w:t>
      </w:r>
      <w:r w:rsidR="006B0D0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6B0D0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смјештајним</w:t>
      </w:r>
      <w:r w:rsidR="002365E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капацитетима</w:t>
      </w:r>
      <w:r w:rsidR="002365E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2365E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2013.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2365E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2365E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2014</w:t>
      </w:r>
      <w:r w:rsidR="00ED5D5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ED5D5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ED5D5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ED5D5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DE4F7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E4F7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њихово</w:t>
      </w:r>
      <w:r w:rsidR="00DE4F7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упоређивање</w:t>
      </w:r>
      <w:r w:rsidR="00DE4F7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</w:p>
    <w:tbl>
      <w:tblPr>
        <w:tblStyle w:val="TableGrid"/>
        <w:tblW w:w="9464" w:type="dxa"/>
        <w:tblLayout w:type="fixed"/>
        <w:tblLook w:val="04A0"/>
      </w:tblPr>
      <w:tblGrid>
        <w:gridCol w:w="534"/>
        <w:gridCol w:w="2268"/>
        <w:gridCol w:w="1134"/>
        <w:gridCol w:w="1134"/>
        <w:gridCol w:w="1134"/>
        <w:gridCol w:w="1134"/>
        <w:gridCol w:w="1134"/>
        <w:gridCol w:w="992"/>
      </w:tblGrid>
      <w:tr w:rsidR="00571B92" w:rsidRPr="00B67843" w:rsidTr="00571B92">
        <w:tc>
          <w:tcPr>
            <w:tcW w:w="534" w:type="dxa"/>
          </w:tcPr>
          <w:p w:rsidR="00571B92" w:rsidRPr="00B67843" w:rsidRDefault="00B67843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Р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.</w:t>
            </w:r>
            <w:r>
              <w:rPr>
                <w:noProof/>
                <w:sz w:val="24"/>
                <w:szCs w:val="24"/>
                <w:lang w:val="sr-Cyrl-CS"/>
              </w:rPr>
              <w:t>бр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Назив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објекта</w:t>
            </w:r>
          </w:p>
        </w:tc>
        <w:tc>
          <w:tcPr>
            <w:tcW w:w="1134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Број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ноћења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2013.</w:t>
            </w:r>
            <w:r>
              <w:rPr>
                <w:noProof/>
                <w:sz w:val="24"/>
                <w:szCs w:val="24"/>
                <w:lang w:val="sr-Cyrl-CS"/>
              </w:rPr>
              <w:t>г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34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Број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долазака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2013.</w:t>
            </w:r>
            <w:r>
              <w:rPr>
                <w:noProof/>
                <w:sz w:val="24"/>
                <w:szCs w:val="24"/>
                <w:lang w:val="sr-Cyrl-CS"/>
              </w:rPr>
              <w:t>г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34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Број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ноћења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2014.</w:t>
            </w:r>
            <w:r>
              <w:rPr>
                <w:noProof/>
                <w:sz w:val="24"/>
                <w:szCs w:val="24"/>
                <w:lang w:val="sr-Cyrl-CS"/>
              </w:rPr>
              <w:t>г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34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Број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долазака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2014.</w:t>
            </w:r>
            <w:r>
              <w:rPr>
                <w:noProof/>
                <w:sz w:val="24"/>
                <w:szCs w:val="24"/>
                <w:lang w:val="sr-Cyrl-CS"/>
              </w:rPr>
              <w:t>г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34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Број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ноћења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2015.</w:t>
            </w:r>
            <w:r>
              <w:rPr>
                <w:noProof/>
                <w:sz w:val="24"/>
                <w:szCs w:val="24"/>
                <w:lang w:val="sr-Cyrl-CS"/>
              </w:rPr>
              <w:t>г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92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Број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долазака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2015.</w:t>
            </w:r>
            <w:r>
              <w:rPr>
                <w:noProof/>
                <w:sz w:val="24"/>
                <w:szCs w:val="24"/>
                <w:lang w:val="sr-Cyrl-CS"/>
              </w:rPr>
              <w:t>г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ХОТЕЛ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ДРИНА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“-</w:t>
            </w:r>
            <w:r>
              <w:rPr>
                <w:noProof/>
                <w:sz w:val="24"/>
                <w:szCs w:val="24"/>
                <w:lang w:val="sr-Cyrl-CS"/>
              </w:rPr>
              <w:t>Минерва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6936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3791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5957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3035</w:t>
            </w:r>
          </w:p>
        </w:tc>
        <w:tc>
          <w:tcPr>
            <w:tcW w:w="1134" w:type="dxa"/>
          </w:tcPr>
          <w:p w:rsidR="00571B92" w:rsidRPr="00B67843" w:rsidRDefault="00C3390D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992" w:type="dxa"/>
          </w:tcPr>
          <w:p w:rsidR="00571B92" w:rsidRPr="00B67843" w:rsidRDefault="00C3390D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ХОТЕЛ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СВ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noProof/>
                <w:sz w:val="24"/>
                <w:szCs w:val="24"/>
                <w:lang w:val="sr-Cyrl-CS"/>
              </w:rPr>
              <w:t>СТЕФАН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12297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1732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3149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1057</w:t>
            </w:r>
          </w:p>
        </w:tc>
        <w:tc>
          <w:tcPr>
            <w:tcW w:w="1134" w:type="dxa"/>
          </w:tcPr>
          <w:p w:rsidR="00571B92" w:rsidRPr="00B67843" w:rsidRDefault="00AD01E4" w:rsidP="00AD01E4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6040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1275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МОТЕЛ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МД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ПЕРИЋ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769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543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1444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529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727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496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МОТЕЛ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МОНАКО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1584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1353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2366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1765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2940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1850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МОТЕЛ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ШИЦО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2171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1353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3598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1583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2443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1604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ПРЕНОЋИШТЕ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 „</w:t>
            </w:r>
            <w:r>
              <w:rPr>
                <w:noProof/>
                <w:sz w:val="24"/>
                <w:szCs w:val="24"/>
                <w:lang w:val="sr-Cyrl-CS"/>
              </w:rPr>
              <w:t>ИНТЕРГАЈ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523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484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508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469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661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542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МОТЕЛ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ДЕСПОТОВИЋ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615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385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752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472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692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457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МОТЕЛ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ЗОКА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127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82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МОТЕЛ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НЕНО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555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346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270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165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384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287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МОТЕЛ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РИСТИЋ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497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238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ХОТЕЛ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ПИРГ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“ </w:t>
            </w:r>
            <w:r>
              <w:rPr>
                <w:noProof/>
                <w:sz w:val="24"/>
                <w:szCs w:val="24"/>
                <w:lang w:val="sr-Cyrl-CS"/>
              </w:rPr>
              <w:t>ЕТНО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СЕЛО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СТАНИШИЋИ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13442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8383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9699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5736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11807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6949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ХОТЕЛ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РАС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ЕТНО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lastRenderedPageBreak/>
              <w:t>СЕЛО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СТАНИШИЋИ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lastRenderedPageBreak/>
              <w:t>-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7026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3514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12719</w:t>
            </w:r>
          </w:p>
        </w:tc>
        <w:tc>
          <w:tcPr>
            <w:tcW w:w="992" w:type="dxa"/>
          </w:tcPr>
          <w:p w:rsidR="00571B92" w:rsidRPr="00B67843" w:rsidRDefault="00AC1BFC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6084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lastRenderedPageBreak/>
              <w:t>13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АПАРТМАНИ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ЕТНО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СЕЛО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СТАНИШИЋИ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531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295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698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396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МОТЕЛ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БРАЋА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ЛАЗИЋ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628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527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950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722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1213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851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ПРЕНОЋИШТЕ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АЗЗУРО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1148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557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1222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529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1151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632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ПАНСИОН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ИМА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ДАНА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1276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835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1785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940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2105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1011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ПРЕНОЋИШТЕ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БРЂАК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ИЛИЈА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874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875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813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811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839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839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ПРЕНОЋИШТЕ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МАЛИ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РАЈ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176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141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107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104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ГОСТИОНА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СА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ПРЕНОЋИШТЕМ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„</w:t>
            </w:r>
            <w:r>
              <w:rPr>
                <w:noProof/>
                <w:sz w:val="24"/>
                <w:szCs w:val="24"/>
                <w:lang w:val="sr-Cyrl-CS"/>
              </w:rPr>
              <w:t>ЂОКОЋ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“ 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510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297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</w:p>
        </w:tc>
      </w:tr>
      <w:tr w:rsidR="00571B92" w:rsidRPr="00B67843" w:rsidTr="00571B92">
        <w:tc>
          <w:tcPr>
            <w:tcW w:w="534" w:type="dxa"/>
          </w:tcPr>
          <w:p w:rsidR="00571B92" w:rsidRPr="00B67843" w:rsidRDefault="00571B92" w:rsidP="00571B92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571B92" w:rsidRPr="00B67843" w:rsidRDefault="00B67843" w:rsidP="00571B92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У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 </w:t>
            </w:r>
            <w:r>
              <w:rPr>
                <w:noProof/>
                <w:sz w:val="24"/>
                <w:szCs w:val="24"/>
                <w:lang w:val="sr-Cyrl-CS"/>
              </w:rPr>
              <w:t>К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 </w:t>
            </w:r>
            <w:r>
              <w:rPr>
                <w:noProof/>
                <w:sz w:val="24"/>
                <w:szCs w:val="24"/>
                <w:lang w:val="sr-Cyrl-CS"/>
              </w:rPr>
              <w:t>У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 </w:t>
            </w:r>
            <w:r>
              <w:rPr>
                <w:noProof/>
                <w:sz w:val="24"/>
                <w:szCs w:val="24"/>
                <w:lang w:val="sr-Cyrl-CS"/>
              </w:rPr>
              <w:t>П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 </w:t>
            </w:r>
            <w:r>
              <w:rPr>
                <w:noProof/>
                <w:sz w:val="24"/>
                <w:szCs w:val="24"/>
                <w:lang w:val="sr-Cyrl-CS"/>
              </w:rPr>
              <w:t>Н</w:t>
            </w:r>
            <w:r w:rsidR="00571B92" w:rsidRPr="00B67843">
              <w:rPr>
                <w:noProof/>
                <w:sz w:val="24"/>
                <w:szCs w:val="24"/>
                <w:lang w:val="sr-Cyrl-CS"/>
              </w:rPr>
              <w:t xml:space="preserve">  </w:t>
            </w:r>
            <w:r>
              <w:rPr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44.028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21.798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40.251</w:t>
            </w:r>
          </w:p>
        </w:tc>
        <w:tc>
          <w:tcPr>
            <w:tcW w:w="1134" w:type="dxa"/>
          </w:tcPr>
          <w:p w:rsidR="00571B92" w:rsidRPr="00B67843" w:rsidRDefault="00571B92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21.782</w:t>
            </w:r>
          </w:p>
        </w:tc>
        <w:tc>
          <w:tcPr>
            <w:tcW w:w="1134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44.546</w:t>
            </w:r>
          </w:p>
        </w:tc>
        <w:tc>
          <w:tcPr>
            <w:tcW w:w="992" w:type="dxa"/>
          </w:tcPr>
          <w:p w:rsidR="00571B92" w:rsidRPr="00B67843" w:rsidRDefault="00AD01E4" w:rsidP="00571B92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23.355</w:t>
            </w:r>
          </w:p>
        </w:tc>
      </w:tr>
    </w:tbl>
    <w:p w:rsidR="006B0D09" w:rsidRPr="00B67843" w:rsidRDefault="006B0D09" w:rsidP="006B0D09">
      <w:pPr>
        <w:pStyle w:val="NoSpacing"/>
        <w:jc w:val="both"/>
        <w:rPr>
          <w:rFonts w:ascii="Calibri" w:eastAsia="Calibri" w:hAnsi="Calibri" w:cs="Times New Roman"/>
          <w:i/>
          <w:noProof/>
          <w:lang w:val="sr-Cyrl-CS"/>
        </w:rPr>
      </w:pPr>
    </w:p>
    <w:p w:rsidR="006B0D09" w:rsidRPr="00B67843" w:rsidRDefault="00B67843" w:rsidP="00DE4F7D">
      <w:pPr>
        <w:pStyle w:val="NoSpacing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DE4F7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ове</w:t>
      </w:r>
      <w:r w:rsidR="00DE4F7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табеле</w:t>
      </w:r>
      <w:r w:rsidR="00DE4F7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DE4F7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види</w:t>
      </w:r>
      <w:r w:rsidR="00DE4F7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</w:t>
      </w:r>
      <w:r w:rsidR="00DE4F7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долазака</w:t>
      </w:r>
      <w:r w:rsidR="00DE4F7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0E343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већи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1,07%</w:t>
      </w:r>
      <w:r w:rsidR="0001372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01372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01372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01372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односу</w:t>
      </w:r>
      <w:r w:rsidR="0001372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01372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2014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годину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1,07%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односу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2013.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ноћења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већи</w:t>
      </w:r>
      <w:r w:rsidR="003236D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236D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3236D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1,11%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3236D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односу</w:t>
      </w:r>
      <w:r w:rsidR="003236D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3236DD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2014.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1,01%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односу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2013.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AC1BF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E3437" w:rsidRPr="00B67843" w:rsidRDefault="000E3437" w:rsidP="00DE4F7D">
      <w:pPr>
        <w:pStyle w:val="NoSpacing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E4F7D" w:rsidRPr="00B67843" w:rsidRDefault="00B67843" w:rsidP="00244D46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организација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урадила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анкету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хотелима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мотелима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преноћиштима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подручију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нашег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Циљ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анкете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био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унапређење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понуде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основу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утврђених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показатеља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</w:p>
    <w:p w:rsidR="00D502BF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Утврђивање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структуре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гостију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бораве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смјештајним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објектима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D502BF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Задовољство</w:t>
      </w:r>
      <w:r w:rsidR="000C3F80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понудом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смјештаја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хране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пића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D502BF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Уређеност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објекта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D502BF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Доступност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рекреативних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садржаја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D502BF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Ноћни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живот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забавни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садржај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D502BF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Примједбе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сигнализацију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D502BF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Примједбе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саобраћајне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доступности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туристичким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дестинацијама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D502BF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Примједбе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комуналног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уређења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туристичких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дестинација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D502BF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главни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разлози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посјете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одабрану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дестинацију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D502BF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начин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дошли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информација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посјећеној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дестинацији</w:t>
      </w:r>
      <w:r w:rsidR="00D502BF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D502BF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Ниво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понуде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културно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историјске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баштине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613EB8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Које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превозно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средство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користе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613EB8" w:rsidRPr="00B67843" w:rsidRDefault="00B67843" w:rsidP="00D502BF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Избор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сувенира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</w:p>
    <w:p w:rsidR="00613EB8" w:rsidRPr="00B67843" w:rsidRDefault="00B67843" w:rsidP="00613EB8">
      <w:pPr>
        <w:pStyle w:val="NoSpacing"/>
        <w:numPr>
          <w:ilvl w:val="0"/>
          <w:numId w:val="10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Познавање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страних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језика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љубазност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особља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угоститељским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објектима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13EB8" w:rsidRPr="00B67843" w:rsidRDefault="00B67843" w:rsidP="00980416">
      <w:pPr>
        <w:pStyle w:val="NoSpacing"/>
        <w:ind w:firstLine="36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основу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поменутих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показатеља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туристичке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анкете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уврђено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следеће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стање</w:t>
      </w:r>
      <w:r w:rsidR="00613EB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</w:p>
    <w:p w:rsidR="00E56839" w:rsidRPr="00B67843" w:rsidRDefault="00B67843" w:rsidP="00980416">
      <w:pPr>
        <w:pStyle w:val="NoSpacing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Највећи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домаћих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користи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хотеле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мотеле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преноћишта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двије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три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звјездице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Веома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мали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домаћих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групних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путовања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ђачких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екскурзија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користе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преноћиште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смјештајним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објектима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Старосна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доб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поменутих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између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55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док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степен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образовања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углавном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ВСС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указује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развој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пословног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транзитног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туризма</w:t>
      </w:r>
      <w:r w:rsidR="00E5683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1D2B27" w:rsidRPr="00B67843" w:rsidRDefault="00B67843" w:rsidP="00980416">
      <w:pPr>
        <w:pStyle w:val="NoSpacing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Рекреативно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спортски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садржај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задовољавајући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Етно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село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Станишићи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''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Бањи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Дворови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док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остали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објетки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посједују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Ноћни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живот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пружа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потпуни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садржај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туристима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1D2B27" w:rsidRPr="00B67843" w:rsidRDefault="00C668A7" w:rsidP="00C668A7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 xml:space="preserve">    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Домаћи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туристу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незадовољни</w:t>
      </w:r>
      <w:r w:rsidR="00A333D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туристичком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знаковном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сигнализацијом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Комунална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уређеност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задовољавајућем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нивоу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становишта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1D2B27" w:rsidRPr="00B67843" w:rsidRDefault="00B67843" w:rsidP="002531CE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Главни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разлози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посјете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нашег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града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одмор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пословни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догађаји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манифестације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C734EC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туристичке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понуде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сазнали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путем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нашег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w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еб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сајта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медија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сајмова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1D2B27" w:rsidRPr="00B67843" w:rsidRDefault="00B67843" w:rsidP="002531CE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Бијељина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своју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културно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историјску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баштину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коју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сазнају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приликом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посјете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Музеју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Семберија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Библиотеци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Филип</w:t>
      </w:r>
      <w:r w:rsidR="001D2B2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Вишњић</w:t>
      </w:r>
      <w:r w:rsidR="000C3F80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градској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Галерији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2E51E7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склопу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Центра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културу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FC0FEB" w:rsidRPr="00B67843" w:rsidRDefault="00B67843" w:rsidP="002531CE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задовољни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љубазношћу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професионалношћу</w:t>
      </w:r>
      <w:r w:rsidR="000C3F80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запослених</w:t>
      </w:r>
      <w:r w:rsidR="000C3F80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0C3F80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угоститељским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објектима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тим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страни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сматрају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било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потребно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усавршити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познавање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страних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језика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ради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адекватније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комуникације</w:t>
      </w:r>
      <w:r w:rsidR="00FC0FEB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A21A9" w:rsidRPr="00B67843" w:rsidRDefault="00DA21A9" w:rsidP="002531CE">
      <w:pPr>
        <w:pStyle w:val="NoSpacing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44D46" w:rsidRPr="00B67843" w:rsidRDefault="00932A20" w:rsidP="002531CE">
      <w:pPr>
        <w:pStyle w:val="NoSpacing"/>
        <w:jc w:val="both"/>
        <w:rPr>
          <w:rFonts w:ascii="Calibri" w:eastAsia="Calibri" w:hAnsi="Calibri" w:cs="Times New Roman"/>
          <w:i/>
          <w:noProof/>
          <w:sz w:val="24"/>
          <w:szCs w:val="24"/>
          <w:lang w:val="sr-Cyrl-CS"/>
        </w:rPr>
      </w:pP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2.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Туристичка</w:t>
      </w:r>
      <w:r w:rsidR="00A92E90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организација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Бијељина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радила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унапређењу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интернет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портала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односно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промоцији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туриситичког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производа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друштвеним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мрежама</w:t>
      </w:r>
      <w:r w:rsidR="00244D46" w:rsidRPr="00B67843">
        <w:rPr>
          <w:rFonts w:ascii="Calibri" w:eastAsia="Calibri" w:hAnsi="Calibri" w:cs="Times New Roman"/>
          <w:i/>
          <w:noProof/>
          <w:sz w:val="24"/>
          <w:szCs w:val="24"/>
          <w:lang w:val="sr-Cyrl-CS"/>
        </w:rPr>
        <w:t xml:space="preserve">. </w:t>
      </w:r>
    </w:p>
    <w:p w:rsidR="000A0CC4" w:rsidRPr="00B67843" w:rsidRDefault="000A0CC4" w:rsidP="002531CE">
      <w:pPr>
        <w:pStyle w:val="NoSpacing"/>
        <w:jc w:val="both"/>
        <w:rPr>
          <w:rFonts w:ascii="Calibri" w:eastAsia="Calibri" w:hAnsi="Calibri" w:cs="Times New Roman"/>
          <w:i/>
          <w:noProof/>
          <w:sz w:val="24"/>
          <w:szCs w:val="24"/>
          <w:lang w:val="sr-Cyrl-CS"/>
        </w:rPr>
      </w:pPr>
    </w:p>
    <w:p w:rsidR="000A0CC4" w:rsidRPr="00B67843" w:rsidRDefault="00B11C0A" w:rsidP="002531CE">
      <w:pPr>
        <w:pStyle w:val="NoSpacing"/>
        <w:ind w:left="15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W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еб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Фацебоок</w:t>
      </w:r>
      <w:r w:rsidR="00DA21A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страница</w:t>
      </w:r>
      <w:r w:rsidR="00DA21A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андроид</w:t>
      </w:r>
      <w:r w:rsidR="00DA21A9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апликацијаТуристичке</w:t>
      </w:r>
      <w:r w:rsidR="0009419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организације</w:t>
      </w:r>
      <w:r w:rsidR="00094198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Бијељине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редовно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ажурира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вијестима</w:t>
      </w:r>
      <w:r w:rsidR="002531C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2531C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најавама</w:t>
      </w:r>
      <w:r w:rsidR="002531C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активности</w:t>
      </w:r>
      <w:r w:rsidR="002531C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Туристичке</w:t>
      </w:r>
      <w:r w:rsidR="002531CE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организације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Бијељина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туристичкој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понуди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града</w:t>
      </w:r>
      <w:r w:rsidR="00244D4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Процјењује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преко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70%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туриста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потраже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путем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интернета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информације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смјештају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активностима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граду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кога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желе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посјете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W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еб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страници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Туристичке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организације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града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Бијељине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налази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промотивни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туристички</w:t>
      </w:r>
      <w:r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филм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граду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Бијељини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потенцијало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заинтересованим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туристима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пружа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информације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туристичким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потенцијалима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дестинацијама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нашег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града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шта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могу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виде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приликом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боравка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нашем</w:t>
      </w:r>
      <w:r w:rsidR="00190591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граду</w:t>
      </w:r>
      <w:r w:rsidR="00980416" w:rsidRPr="00B6784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A0CC4" w:rsidRPr="00B67843" w:rsidRDefault="000A0CC4" w:rsidP="002531CE">
      <w:pPr>
        <w:pStyle w:val="NoSpacing"/>
        <w:ind w:firstLine="709"/>
        <w:jc w:val="both"/>
        <w:rPr>
          <w:rFonts w:ascii="Calibri" w:eastAsia="Calibri" w:hAnsi="Calibri" w:cs="Times New Roman"/>
          <w:noProof/>
          <w:sz w:val="24"/>
          <w:szCs w:val="24"/>
          <w:lang w:val="sr-Cyrl-CS"/>
        </w:rPr>
      </w:pPr>
    </w:p>
    <w:p w:rsidR="00A92E90" w:rsidRPr="00B67843" w:rsidRDefault="00B67843" w:rsidP="002531CE">
      <w:pPr>
        <w:pStyle w:val="NoSpacing"/>
        <w:numPr>
          <w:ilvl w:val="0"/>
          <w:numId w:val="8"/>
        </w:numPr>
        <w:ind w:left="15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Унапређана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сарадња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мотелима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ресторанима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погледу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њиховог</w:t>
      </w:r>
      <w:r w:rsidR="00F2601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адекватвијег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представљања</w:t>
      </w:r>
      <w:r w:rsidR="002E51E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2E51E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сајмовима</w:t>
      </w:r>
      <w:r w:rsidR="002E51E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0C3F8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2E51E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посјећује</w:t>
      </w:r>
      <w:r w:rsidR="002E51E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њихово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представљање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w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еб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страници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955D2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6473C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угоститељски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објекти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имали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могућност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самостално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представе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сајмовима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манифестацијама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учествовала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угоститељски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привредни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субјекти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доставили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пропагадни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били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представљени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сајмовима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Етно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село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Станишићи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Бања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Дворови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Семберски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салаш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ресторан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Ловац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Мотел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Браћа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Лазић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Сан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Марцо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Житопромет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:rsidR="00955D28" w:rsidRPr="00B67843" w:rsidRDefault="00955D28" w:rsidP="002531CE">
      <w:pPr>
        <w:pStyle w:val="NoSpacing"/>
        <w:ind w:left="15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C07731" w:rsidRPr="00B67843" w:rsidRDefault="00B67843" w:rsidP="002531CE">
      <w:pPr>
        <w:pStyle w:val="NoSpacing"/>
        <w:numPr>
          <w:ilvl w:val="0"/>
          <w:numId w:val="8"/>
        </w:numPr>
        <w:ind w:left="150"/>
        <w:jc w:val="both"/>
        <w:rPr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радили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смо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унапређењу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сарадње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саудружењима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Удружење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жена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инвалидитетом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Импулс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Удружење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жена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Бели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анђео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Дворова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Мајина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радионица</w:t>
      </w:r>
      <w:r w:rsidR="0019059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19059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остала</w:t>
      </w:r>
      <w:r w:rsidR="0019059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удружења</w:t>
      </w:r>
      <w:r w:rsidR="005F326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баве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етно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туризмом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Повећано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њихово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присуство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промоција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њигове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дјелатности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кроз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заједничке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наступе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етно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манифестацијама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932A20" w:rsidRPr="00B67843" w:rsidRDefault="00932A20" w:rsidP="002531CE">
      <w:pPr>
        <w:pStyle w:val="NoSpacing"/>
        <w:jc w:val="both"/>
        <w:rPr>
          <w:noProof/>
          <w:sz w:val="24"/>
          <w:szCs w:val="24"/>
          <w:lang w:val="sr-Cyrl-CS"/>
        </w:rPr>
      </w:pPr>
    </w:p>
    <w:p w:rsidR="00535770" w:rsidRPr="00B67843" w:rsidRDefault="00B67843" w:rsidP="003236DD">
      <w:pPr>
        <w:pStyle w:val="NoSpacing"/>
        <w:numPr>
          <w:ilvl w:val="0"/>
          <w:numId w:val="8"/>
        </w:numPr>
        <w:ind w:left="167" w:hanging="35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Министарство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трговине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организовало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неколико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састанака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присуствовали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директори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локалних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Туристичких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Теме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састаанка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расправа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предлогу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боравишној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такси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бањског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разматрање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плана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промоције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туристичких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потенцијала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Републици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Српској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финансијска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подршка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локалним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Туристичким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организацијама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циљу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манифестационог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bookmarkStart w:id="0" w:name="_GoBack"/>
      <w:bookmarkEnd w:id="0"/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2C50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31.03.2015.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Министарство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трговине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РС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расписало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конкурс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финансирање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програма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области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Урадили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смо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пројекат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колонију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свом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потребном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документацијом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прослиједили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Министарству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трговине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330BB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Поменути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пројекат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подржан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Министарства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трговине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A0CC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финансијском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погледу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износу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4.000,00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28583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потписан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Бања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Луци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22.12.2015.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98041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583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="0028583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намјенска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добијена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8583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="0028583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Министарства</w:t>
      </w:r>
      <w:r w:rsidR="0028583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8583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циљу</w:t>
      </w:r>
      <w:r w:rsidR="0028583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развоја</w:t>
      </w:r>
      <w:r w:rsidR="0028583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манифестационог</w:t>
      </w:r>
      <w:r w:rsidR="0028583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28583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C668A7" w:rsidRPr="00B67843" w:rsidRDefault="00201240" w:rsidP="00932A2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:rsidR="00C668A7" w:rsidRPr="00B67843" w:rsidRDefault="00C668A7" w:rsidP="00932A2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0E6" w:rsidRPr="00B67843" w:rsidRDefault="00B67843" w:rsidP="00535770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Информативно</w:t>
      </w:r>
      <w:r w:rsidR="0090740F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пропагандна</w:t>
      </w:r>
      <w:r w:rsidR="0090740F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дјелатност</w:t>
      </w:r>
    </w:p>
    <w:p w:rsidR="007310E6" w:rsidRPr="00B67843" w:rsidRDefault="007310E6" w:rsidP="0053577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0E6" w:rsidRPr="00B67843" w:rsidRDefault="0090740F" w:rsidP="0053577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циљу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квалитетније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промоције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туристичких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потенцијала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ресусра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израдила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</w:t>
      </w:r>
      <w:r w:rsidR="007310E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водич</w:t>
      </w:r>
      <w:r w:rsidR="0024710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4710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="0024710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24710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представљени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потенцијали</w:t>
      </w:r>
      <w:r w:rsidR="0024710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4710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ресурси</w:t>
      </w:r>
      <w:r w:rsidR="0024710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сет</w:t>
      </w:r>
      <w:r w:rsidR="0024710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разгледница</w:t>
      </w:r>
      <w:r w:rsidR="0024710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24710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мотивима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Семберије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карту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рекламне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кесе</w:t>
      </w:r>
      <w:r w:rsidR="0019059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промотивни</w:t>
      </w:r>
      <w:r w:rsidR="0019059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</w:t>
      </w:r>
      <w:r w:rsidR="0019059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филм</w:t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остали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рекламни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B5531B" w:rsidRPr="00B67843" w:rsidRDefault="00B5531B" w:rsidP="0053577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CA4AC6" w:rsidRPr="00B67843" w:rsidRDefault="00B67843" w:rsidP="0053577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EE24C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представила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EE24C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следећим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манифестацијама</w:t>
      </w:r>
      <w:r w:rsidR="00CA4AC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BF636B" w:rsidRPr="00B67843" w:rsidRDefault="00BF636B" w:rsidP="0053577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71B92" w:rsidRPr="00B67843" w:rsidRDefault="00B67843" w:rsidP="00571B92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представила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Сајму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Београду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Београдски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сајам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туризма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највећа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туристичка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манифестација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земљи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југоисточној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Европи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Више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од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30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година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испуњава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свјетске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стандарде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пословању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излагачима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гради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партнерске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односе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квалитетном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понудом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разноврсним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дешавањима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сваке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године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привлачи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све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већи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број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посјетилаца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Сајам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туризма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одржао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под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слоганом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Искористи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тренутак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''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трајао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од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19.02.-22.0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2.2015.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године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а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отворио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га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је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премијер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Владе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Репблике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Србије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Александар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Вучић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На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сајму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представило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преко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1.100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излагача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из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50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земаља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Пертнер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сајма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био</w:t>
      </w:r>
      <w:r w:rsidR="00B40CDB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Абу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Даби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Уз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сајам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туризма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одржале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још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три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манифестације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: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Сајам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опреме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хотелијерства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угоститељства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Сајам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вина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Сајам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сувенира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.</w:t>
      </w:r>
    </w:p>
    <w:p w:rsidR="00571B92" w:rsidRPr="00B67843" w:rsidRDefault="00B67843" w:rsidP="00AC2B0F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Туристичка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организација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Бијељине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представила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актуелну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туристичку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понуду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града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Бијељине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оквиру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заједничког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штанда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Туристичке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организације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Републике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Српске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На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штанду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од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70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2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представили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: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Туристичке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организације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Бијељине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Бања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Луке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Вишеграда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Приједора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Зворника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Рогатице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Билеће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Гацког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као</w:t>
      </w:r>
      <w:r w:rsidR="00B40CDB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</w:t>
      </w:r>
      <w:r w:rsidR="00B40CDB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Бања</w:t>
      </w:r>
      <w:r w:rsidR="00B40CDB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Дворови</w:t>
      </w:r>
      <w:r w:rsidR="00B40CDB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Етно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село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Станишићи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Првог</w:t>
      </w:r>
      <w:r w:rsidR="00B40CDB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дана</w:t>
      </w:r>
      <w:r w:rsidR="00B40CDB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сајма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Туристичка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организација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представила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својим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пропагандним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материјалом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који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садржи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комплетну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туристичку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понуду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града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Сајам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карактерише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велики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број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посјетилаца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највеће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интересовање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било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за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Етно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село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Станишићи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Семберски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салаш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Бању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Дворови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Ресторан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Ловац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као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за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вјерски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туризам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Другог</w:t>
      </w:r>
      <w:r w:rsidR="00005998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дана</w:t>
      </w:r>
      <w:r w:rsidR="00005998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сајма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Туристичка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организација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имала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одобрење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од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стране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ТОРС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-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да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презентује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град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Бијељину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КУД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Дворови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КУД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Нова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Јања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одиграли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једну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музичку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нумеру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Ресторан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Ловац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се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представио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храном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из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своје</w:t>
      </w:r>
      <w:r w:rsidR="002531CE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националне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кухиње</w:t>
      </w:r>
      <w:r w:rsidR="0065087F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коју</w:t>
      </w:r>
      <w:r w:rsidR="0065087F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посјетиоци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сајма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могли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да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дегустирају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sr-Cyrl-CS"/>
        </w:rPr>
        <w:t>.</w:t>
      </w:r>
    </w:p>
    <w:p w:rsidR="00571B92" w:rsidRPr="00B67843" w:rsidRDefault="00B67843" w:rsidP="00AC2B0F">
      <w:pPr>
        <w:pStyle w:val="NoSpacing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Центру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културу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Бијељини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25.02.2015.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г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26.02.2015.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године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одржан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26473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bs-Latn-BA"/>
        </w:rPr>
        <w:t xml:space="preserve">I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Међународни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етно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еко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сајам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чији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организатори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Туристички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кластер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2531CE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''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Свети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Димитрије</w:t>
      </w:r>
      <w:r w:rsidR="002531CE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''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из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Сремске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Митровице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Град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Бијељина</w:t>
      </w:r>
      <w:r w:rsidR="002531CE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Туристичка</w:t>
      </w:r>
      <w:r w:rsidR="002531CE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организација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Бијељине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заједно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Градом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Сремска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Митровица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Центром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културу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Бијељина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Привредном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комором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Бијељина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Удружењем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жена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инвалидитетом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 ''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Импулс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из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Бијељине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била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партнер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овом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пројекту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Овај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пројекат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Туристичког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кластера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2531CE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''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Свети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Димитрије</w:t>
      </w:r>
      <w:r w:rsidR="002531CE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''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Града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Бијељине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подржан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од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стране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Европске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уније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замишњен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одрживим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наредних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седам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година</w:t>
      </w:r>
      <w:r w:rsidR="00571B92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. </w:t>
      </w:r>
    </w:p>
    <w:p w:rsidR="00571B92" w:rsidRPr="00B67843" w:rsidRDefault="00571B92" w:rsidP="0065087F">
      <w:pPr>
        <w:pStyle w:val="NoSpacing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ab/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Учесници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овог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сајма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су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били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представници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домаће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радиности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уникатних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радова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произвођачи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месних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производа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вина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ракије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овом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сајму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било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23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излагача</w:t>
      </w:r>
      <w:r w:rsidR="0065087F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.</w:t>
      </w:r>
    </w:p>
    <w:p w:rsidR="00571B92" w:rsidRPr="00B67843" w:rsidRDefault="00571B92" w:rsidP="00571B92">
      <w:pPr>
        <w:pStyle w:val="NoSpacing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ab/>
      </w:r>
      <w:r w:rsidR="0026473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bs-Latn-BA"/>
        </w:rPr>
        <w:t>I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међународни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етно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–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еко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сајам</w:t>
      </w:r>
      <w:r w:rsidR="0026473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bs-Latn-BA"/>
        </w:rPr>
        <w:t xml:space="preserve"> 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''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Звуци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укуси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мириси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традиције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''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отворио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начелник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друштвене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дјелатности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Славко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Башић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Учесницима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посјетиоцима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сајма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lastRenderedPageBreak/>
        <w:t>обратио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директор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Туристичког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кластера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Свети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Димитрије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подпредсједник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групе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заинтересованих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страна</w:t>
      </w:r>
      <w:r w:rsidR="00C734EC"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прекограничног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региона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Дрина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–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Сава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Никола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Никшић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После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отварања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сајма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одржан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округли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сто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тему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''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Рурални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туризам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–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могућности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перспективе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умрежавања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региону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Дрина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–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Сава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''.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округлом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столу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били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су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присутни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представнициТуристичког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кластера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Свети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Димитрије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Града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Бијељине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Туристичке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организације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Бијељине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Удружење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жена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инвалидитетом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 ''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Импулс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'',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као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учесници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овог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сајма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.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Медиски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покровитељ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сајма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БН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телевизија</w:t>
      </w:r>
      <w:r w:rsidRPr="00B6784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.</w:t>
      </w:r>
    </w:p>
    <w:p w:rsidR="00571B92" w:rsidRPr="00B67843" w:rsidRDefault="00B67843" w:rsidP="00571B92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позив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пољопривреде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шумарства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водопривреде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учествовала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ИВ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Међународном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симпозијуму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XX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научно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стручном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савјетовању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агронома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одржан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02.03.2015.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06.03</w:t>
      </w:r>
      <w:r w:rsidR="00B40CD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B40CD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40CD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Етно</w:t>
      </w:r>
      <w:r w:rsidR="00B40CD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селу</w:t>
      </w:r>
      <w:r w:rsidR="00B40CD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Станишићи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хотелу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имала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штанд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изложила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промотивни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водич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разгледнице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карте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ДВД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0CD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волим</w:t>
      </w:r>
      <w:r w:rsidR="00B40CD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'').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B40CD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семпозијуму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било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преко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200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учесника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земље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иностранства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подјељен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пропагандни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Симпозијум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отворио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пољопривреде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шумарства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водопривреде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Стево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Мирјанић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учеснике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поздравио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Градоначелник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Мићо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Мићић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 05.03.2015.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сали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Москва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организована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сајамска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изложба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пољопривредних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производа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гдје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имала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штанд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пропагандним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материјалом</w:t>
      </w:r>
      <w:r w:rsidR="00571B9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71B92" w:rsidRPr="00B67843" w:rsidRDefault="00571B92" w:rsidP="00571B9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>21.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марта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наш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посјетила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група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Сомбора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професори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пољопривредне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прехрамбене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Поменута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група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посјетила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градски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парк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музеј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Семберије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манастир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Св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Василија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Острошког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Етно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село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Станишићи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манастир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Св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Петке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Дринску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ружу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Гости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Сомбора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напустили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наш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задовољни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оним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видјели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јасном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намјером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вратити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обиђу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дестинације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овај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пут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нису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стигли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виде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позив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трговине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учествовала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подјели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пропагадног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граничном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прелазу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Рача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11.04.2015.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Пропагадни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достављен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поменутог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дјељен</w:t>
      </w:r>
      <w:r w:rsidR="002531C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531C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туристима</w:t>
      </w:r>
      <w:r w:rsidR="002531C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2531C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вријеме</w:t>
      </w:r>
      <w:r w:rsidR="002531C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Васкршњих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празника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Центар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културу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Семберија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Зворничко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тузланска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епархија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организовали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традиционалну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Јајаријада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узела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Такође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смо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учествовали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Јајаријада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Дворови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организовало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удружење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жена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Бели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анђео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Дворова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D650D" w:rsidRPr="00B67843" w:rsidRDefault="00B67843" w:rsidP="006D650D">
      <w:pPr>
        <w:pStyle w:val="NormalWeb"/>
        <w:shd w:val="clear" w:color="auto" w:fill="FFFFFF"/>
        <w:spacing w:before="15" w:beforeAutospacing="0" w:after="15" w:afterAutospacing="0" w:line="297" w:lineRule="atLeast"/>
        <w:ind w:left="15" w:right="15"/>
        <w:jc w:val="both"/>
        <w:rPr>
          <w:noProof/>
          <w:color w:val="000000" w:themeColor="text1"/>
          <w:lang w:val="sr-Cyrl-CS"/>
        </w:rPr>
      </w:pPr>
      <w:r>
        <w:rPr>
          <w:noProof/>
          <w:lang w:val="sr-Cyrl-CS"/>
        </w:rPr>
        <w:t>Туристичка</w:t>
      </w:r>
      <w:r w:rsidR="006D650D" w:rsidRPr="00B67843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организација</w:t>
      </w:r>
      <w:r w:rsidR="006D650D" w:rsidRPr="00B6784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6D650D" w:rsidRPr="00B6784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представила</w:t>
      </w:r>
      <w:r w:rsidR="006D650D" w:rsidRPr="00B6784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6D650D" w:rsidRPr="00B67843">
        <w:rPr>
          <w:noProof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Првом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Сајаму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малог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бизниса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које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организовао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град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Тузла</w:t>
      </w:r>
      <w:r w:rsidR="006D650D" w:rsidRPr="00B67843">
        <w:rPr>
          <w:noProof/>
          <w:color w:val="000000" w:themeColor="text1"/>
          <w:lang w:val="sr-Cyrl-CS"/>
        </w:rPr>
        <w:t xml:space="preserve"> – </w:t>
      </w:r>
      <w:r>
        <w:rPr>
          <w:noProof/>
          <w:color w:val="000000" w:themeColor="text1"/>
          <w:lang w:val="sr-Cyrl-CS"/>
        </w:rPr>
        <w:t>служба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за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рзвој</w:t>
      </w:r>
      <w:r w:rsidR="006D650D" w:rsidRPr="00B67843">
        <w:rPr>
          <w:noProof/>
          <w:color w:val="000000" w:themeColor="text1"/>
          <w:lang w:val="sr-Cyrl-CS"/>
        </w:rPr>
        <w:t xml:space="preserve">, </w:t>
      </w:r>
      <w:r>
        <w:rPr>
          <w:noProof/>
          <w:color w:val="000000" w:themeColor="text1"/>
          <w:lang w:val="sr-Cyrl-CS"/>
        </w:rPr>
        <w:t>подузетништво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друштвене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дјелатности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уз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подршку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Министарства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развоја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подузетништва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од</w:t>
      </w:r>
      <w:r w:rsidR="006D650D" w:rsidRPr="00B67843">
        <w:rPr>
          <w:noProof/>
          <w:color w:val="000000" w:themeColor="text1"/>
          <w:lang w:val="sr-Cyrl-CS"/>
        </w:rPr>
        <w:t xml:space="preserve"> 16.04.</w:t>
      </w:r>
      <w:r>
        <w:rPr>
          <w:noProof/>
          <w:color w:val="000000" w:themeColor="text1"/>
          <w:lang w:val="sr-Cyrl-CS"/>
        </w:rPr>
        <w:t>до</w:t>
      </w:r>
      <w:r w:rsidR="006D650D" w:rsidRPr="00B67843">
        <w:rPr>
          <w:noProof/>
          <w:color w:val="000000" w:themeColor="text1"/>
          <w:lang w:val="sr-Cyrl-CS"/>
        </w:rPr>
        <w:t xml:space="preserve"> 18.04.2015.</w:t>
      </w:r>
      <w:r>
        <w:rPr>
          <w:noProof/>
          <w:color w:val="000000" w:themeColor="text1"/>
          <w:lang w:val="sr-Cyrl-CS"/>
        </w:rPr>
        <w:t>године</w:t>
      </w:r>
      <w:r w:rsidR="006D650D" w:rsidRPr="00B67843">
        <w:rPr>
          <w:noProof/>
          <w:color w:val="000000" w:themeColor="text1"/>
          <w:lang w:val="sr-Cyrl-CS"/>
        </w:rPr>
        <w:t xml:space="preserve">. </w:t>
      </w:r>
      <w:r>
        <w:rPr>
          <w:noProof/>
          <w:color w:val="000000" w:themeColor="text1"/>
          <w:lang w:val="sr-Cyrl-CS"/>
        </w:rPr>
        <w:t>Први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дан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сајма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било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око</w:t>
      </w:r>
      <w:r w:rsidR="006D650D" w:rsidRPr="00B67843">
        <w:rPr>
          <w:noProof/>
          <w:color w:val="000000" w:themeColor="text1"/>
          <w:lang w:val="sr-Cyrl-CS"/>
        </w:rPr>
        <w:t xml:space="preserve"> 70 </w:t>
      </w:r>
      <w:r>
        <w:rPr>
          <w:noProof/>
          <w:color w:val="000000" w:themeColor="text1"/>
          <w:lang w:val="sr-Cyrl-CS"/>
        </w:rPr>
        <w:t>излагагача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</w:t>
      </w:r>
      <w:r w:rsidR="006D650D" w:rsidRPr="00B67843">
        <w:rPr>
          <w:noProof/>
          <w:color w:val="000000" w:themeColor="text1"/>
          <w:lang w:val="sr-Cyrl-CS"/>
        </w:rPr>
        <w:t xml:space="preserve"> 10 </w:t>
      </w:r>
      <w:r>
        <w:rPr>
          <w:noProof/>
          <w:color w:val="000000" w:themeColor="text1"/>
          <w:lang w:val="sr-Cyrl-CS"/>
        </w:rPr>
        <w:t>предавача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који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одржали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предавање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на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тему</w:t>
      </w:r>
      <w:r w:rsidR="006D650D" w:rsidRPr="00B67843">
        <w:rPr>
          <w:noProof/>
          <w:color w:val="000000" w:themeColor="text1"/>
          <w:lang w:val="sr-Cyrl-CS"/>
        </w:rPr>
        <w:t xml:space="preserve"> ''</w:t>
      </w:r>
      <w:r>
        <w:rPr>
          <w:noProof/>
          <w:color w:val="000000" w:themeColor="text1"/>
          <w:lang w:val="sr-Cyrl-CS"/>
        </w:rPr>
        <w:t>Како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претворити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идеју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пословни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подухват</w:t>
      </w:r>
      <w:r w:rsidR="006D650D" w:rsidRPr="00B67843">
        <w:rPr>
          <w:noProof/>
          <w:color w:val="000000" w:themeColor="text1"/>
          <w:lang w:val="sr-Cyrl-CS"/>
        </w:rPr>
        <w:t xml:space="preserve">''.  </w:t>
      </w:r>
      <w:r>
        <w:rPr>
          <w:noProof/>
          <w:color w:val="000000" w:themeColor="text1"/>
          <w:lang w:val="sr-Cyrl-CS"/>
        </w:rPr>
        <w:t>Поред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излагача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који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баве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израдом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производа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ручне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радиности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представили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Привредна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комора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кантона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Тузла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Министарство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развоја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подузетништва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кантона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Тузла</w:t>
      </w:r>
      <w:r w:rsidR="006D650D" w:rsidRPr="00B67843">
        <w:rPr>
          <w:noProof/>
          <w:color w:val="000000" w:themeColor="text1"/>
          <w:lang w:val="sr-Cyrl-CS"/>
        </w:rPr>
        <w:t xml:space="preserve">. </w:t>
      </w:r>
      <w:r>
        <w:rPr>
          <w:noProof/>
          <w:color w:val="000000" w:themeColor="text1"/>
          <w:lang w:val="sr-Cyrl-CS"/>
        </w:rPr>
        <w:t>Туристичка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организација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Бијељине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на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овом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сајму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представила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својим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промотивним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материјалом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за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које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највише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били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заинтересовани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ученици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угоститељске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економске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школе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Тузли</w:t>
      </w:r>
      <w:r w:rsidR="006D650D" w:rsidRPr="00B67843">
        <w:rPr>
          <w:noProof/>
          <w:color w:val="000000" w:themeColor="text1"/>
          <w:lang w:val="sr-Cyrl-CS"/>
        </w:rPr>
        <w:t xml:space="preserve">. </w:t>
      </w:r>
      <w:r>
        <w:rPr>
          <w:noProof/>
          <w:color w:val="000000" w:themeColor="text1"/>
          <w:lang w:val="sr-Cyrl-CS"/>
        </w:rPr>
        <w:t>Сајам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свечано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отворио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градоначелник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града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Тузле</w:t>
      </w:r>
      <w:r w:rsidR="006D650D" w:rsidRPr="00B67843">
        <w:rPr>
          <w:noProof/>
          <w:color w:val="000000" w:themeColor="text1"/>
          <w:lang w:val="sr-Cyrl-CS"/>
        </w:rPr>
        <w:t>.</w:t>
      </w:r>
    </w:p>
    <w:p w:rsidR="00B17815" w:rsidRPr="00B67843" w:rsidRDefault="00B67843" w:rsidP="006D650D">
      <w:pPr>
        <w:pStyle w:val="NormalWeb"/>
        <w:shd w:val="clear" w:color="auto" w:fill="FFFFFF"/>
        <w:spacing w:before="15" w:beforeAutospacing="0" w:after="15" w:afterAutospacing="0" w:line="297" w:lineRule="atLeast"/>
        <w:ind w:left="15" w:right="15" w:firstLine="705"/>
        <w:jc w:val="both"/>
        <w:rPr>
          <w:noProof/>
          <w:color w:val="000000" w:themeColor="text1"/>
          <w:lang w:val="sr-Cyrl-CS"/>
        </w:rPr>
      </w:pPr>
      <w:r>
        <w:rPr>
          <w:noProof/>
          <w:color w:val="000000" w:themeColor="text1"/>
          <w:lang w:val="sr-Cyrl-CS"/>
        </w:rPr>
        <w:t>Дана</w:t>
      </w:r>
      <w:r w:rsidR="006D650D" w:rsidRPr="00B67843">
        <w:rPr>
          <w:noProof/>
          <w:color w:val="000000" w:themeColor="text1"/>
          <w:lang w:val="sr-Cyrl-CS"/>
        </w:rPr>
        <w:t xml:space="preserve"> 28.04.2015.</w:t>
      </w:r>
      <w:r>
        <w:rPr>
          <w:noProof/>
          <w:color w:val="000000" w:themeColor="text1"/>
          <w:lang w:val="sr-Cyrl-CS"/>
        </w:rPr>
        <w:t>године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организацији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Туристичке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организације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Републике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Српске</w:t>
      </w:r>
      <w:r w:rsidR="006D650D" w:rsidRPr="00B67843">
        <w:rPr>
          <w:noProof/>
          <w:color w:val="000000" w:themeColor="text1"/>
          <w:lang w:val="sr-Cyrl-CS"/>
        </w:rPr>
        <w:t xml:space="preserve">, </w:t>
      </w:r>
      <w:r>
        <w:rPr>
          <w:noProof/>
          <w:color w:val="000000" w:themeColor="text1"/>
          <w:lang w:val="sr-Cyrl-CS"/>
        </w:rPr>
        <w:t>Бијељину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посјетила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студијска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група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из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Пољске</w:t>
      </w:r>
      <w:r w:rsidR="006D650D" w:rsidRPr="00B67843">
        <w:rPr>
          <w:noProof/>
          <w:color w:val="000000" w:themeColor="text1"/>
          <w:lang w:val="sr-Cyrl-CS"/>
        </w:rPr>
        <w:t xml:space="preserve">. </w:t>
      </w:r>
      <w:r>
        <w:rPr>
          <w:noProof/>
          <w:color w:val="000000" w:themeColor="text1"/>
          <w:lang w:val="sr-Cyrl-CS"/>
        </w:rPr>
        <w:t>Представнци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Туристичке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организације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Бијељине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дочекали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их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Етно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селу</w:t>
      </w:r>
      <w:r w:rsidR="006D650D" w:rsidRPr="00B67843">
        <w:rPr>
          <w:noProof/>
          <w:color w:val="000000" w:themeColor="text1"/>
          <w:lang w:val="sr-Cyrl-CS"/>
        </w:rPr>
        <w:t xml:space="preserve"> ''</w:t>
      </w:r>
      <w:r>
        <w:rPr>
          <w:noProof/>
          <w:color w:val="000000" w:themeColor="text1"/>
          <w:lang w:val="sr-Cyrl-CS"/>
        </w:rPr>
        <w:t>Станишићи</w:t>
      </w:r>
      <w:r w:rsidR="006D650D" w:rsidRPr="00B67843">
        <w:rPr>
          <w:noProof/>
          <w:color w:val="000000" w:themeColor="text1"/>
          <w:lang w:val="sr-Cyrl-CS"/>
        </w:rPr>
        <w:t xml:space="preserve">''. </w:t>
      </w:r>
      <w:r>
        <w:rPr>
          <w:noProof/>
          <w:color w:val="000000" w:themeColor="text1"/>
          <w:lang w:val="sr-Cyrl-CS"/>
        </w:rPr>
        <w:t>Студијску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групу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чинила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су</w:t>
      </w:r>
      <w:r w:rsidR="006D650D" w:rsidRPr="00B67843">
        <w:rPr>
          <w:noProof/>
          <w:color w:val="000000" w:themeColor="text1"/>
          <w:lang w:val="sr-Cyrl-CS"/>
        </w:rPr>
        <w:t xml:space="preserve">  11 </w:t>
      </w:r>
      <w:r>
        <w:rPr>
          <w:noProof/>
          <w:color w:val="000000" w:themeColor="text1"/>
          <w:lang w:val="sr-Cyrl-CS"/>
        </w:rPr>
        <w:t>туроператера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</w:t>
      </w:r>
      <w:r w:rsidR="006D650D" w:rsidRPr="00B67843">
        <w:rPr>
          <w:noProof/>
          <w:color w:val="000000" w:themeColor="text1"/>
          <w:lang w:val="sr-Cyrl-CS"/>
        </w:rPr>
        <w:t xml:space="preserve"> 2 </w:t>
      </w:r>
      <w:r>
        <w:rPr>
          <w:noProof/>
          <w:color w:val="000000" w:themeColor="text1"/>
          <w:lang w:val="sr-Cyrl-CS"/>
        </w:rPr>
        <w:t>новинара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из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Пољске</w:t>
      </w:r>
      <w:r w:rsidR="006D650D" w:rsidRPr="00B67843">
        <w:rPr>
          <w:noProof/>
          <w:color w:val="000000" w:themeColor="text1"/>
          <w:lang w:val="sr-Cyrl-CS"/>
        </w:rPr>
        <w:t xml:space="preserve">, </w:t>
      </w:r>
      <w:r>
        <w:rPr>
          <w:noProof/>
          <w:color w:val="000000" w:themeColor="text1"/>
          <w:lang w:val="sr-Cyrl-CS"/>
        </w:rPr>
        <w:t>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као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пратња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био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представник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Туристичке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организације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Републике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Српске</w:t>
      </w:r>
      <w:r w:rsidR="006D650D" w:rsidRPr="00B67843">
        <w:rPr>
          <w:noProof/>
          <w:color w:val="000000" w:themeColor="text1"/>
          <w:lang w:val="sr-Cyrl-CS"/>
        </w:rPr>
        <w:t xml:space="preserve"> - </w:t>
      </w:r>
      <w:r>
        <w:rPr>
          <w:noProof/>
          <w:color w:val="000000" w:themeColor="text1"/>
          <w:lang w:val="sr-Cyrl-CS"/>
        </w:rPr>
        <w:t>Александар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Праштало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Милан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Букара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као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водич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ове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групе</w:t>
      </w:r>
      <w:r w:rsidR="006D650D" w:rsidRPr="00B67843">
        <w:rPr>
          <w:noProof/>
          <w:color w:val="000000" w:themeColor="text1"/>
          <w:lang w:val="sr-Cyrl-CS"/>
        </w:rPr>
        <w:t xml:space="preserve">. </w:t>
      </w:r>
      <w:r>
        <w:rPr>
          <w:noProof/>
          <w:color w:val="000000" w:themeColor="text1"/>
          <w:lang w:val="sr-Cyrl-CS"/>
        </w:rPr>
        <w:t>Циљ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њиховог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доласка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обилазак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свих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значајних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дестинација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lastRenderedPageBreak/>
        <w:t>Републици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Српској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које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ће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они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представити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својој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земљи</w:t>
      </w:r>
      <w:r w:rsidR="006D650D" w:rsidRPr="00B67843">
        <w:rPr>
          <w:noProof/>
          <w:color w:val="000000" w:themeColor="text1"/>
          <w:lang w:val="sr-Cyrl-CS"/>
        </w:rPr>
        <w:t xml:space="preserve">, </w:t>
      </w:r>
      <w:r>
        <w:rPr>
          <w:noProof/>
          <w:color w:val="000000" w:themeColor="text1"/>
          <w:lang w:val="sr-Cyrl-CS"/>
        </w:rPr>
        <w:t>као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би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анимирали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туристе</w:t>
      </w:r>
      <w:r w:rsidR="00B40CDB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на</w:t>
      </w:r>
      <w:r w:rsidR="00B40CDB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основу</w:t>
      </w:r>
      <w:r w:rsidR="00B40CDB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својих</w:t>
      </w:r>
      <w:r w:rsidR="00B40CDB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утисака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из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Пољске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да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посјете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Републике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Српску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</w:t>
      </w:r>
      <w:r w:rsidR="006D650D" w:rsidRPr="00B67843">
        <w:rPr>
          <w:noProof/>
          <w:color w:val="000000" w:themeColor="text1"/>
          <w:lang w:val="sr-Cyrl-CS"/>
        </w:rPr>
        <w:t xml:space="preserve"> 2016.</w:t>
      </w:r>
      <w:r>
        <w:rPr>
          <w:noProof/>
          <w:color w:val="000000" w:themeColor="text1"/>
          <w:lang w:val="sr-Cyrl-CS"/>
        </w:rPr>
        <w:t>години</w:t>
      </w:r>
      <w:r w:rsidR="006D650D" w:rsidRPr="00B67843">
        <w:rPr>
          <w:noProof/>
          <w:color w:val="000000" w:themeColor="text1"/>
          <w:lang w:val="sr-Cyrl-CS"/>
        </w:rPr>
        <w:t xml:space="preserve">. </w:t>
      </w:r>
      <w:r>
        <w:rPr>
          <w:noProof/>
          <w:color w:val="000000" w:themeColor="text1"/>
          <w:lang w:val="sr-Cyrl-CS"/>
        </w:rPr>
        <w:t>Ова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група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</w:t>
      </w:r>
      <w:r w:rsidR="006D650D" w:rsidRPr="00B67843">
        <w:rPr>
          <w:noProof/>
          <w:color w:val="000000" w:themeColor="text1"/>
          <w:lang w:val="sr-Cyrl-CS"/>
        </w:rPr>
        <w:t xml:space="preserve"> 2014.</w:t>
      </w:r>
      <w:r>
        <w:rPr>
          <w:noProof/>
          <w:color w:val="000000" w:themeColor="text1"/>
          <w:lang w:val="sr-Cyrl-CS"/>
        </w:rPr>
        <w:t>години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довела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Хрватску</w:t>
      </w:r>
      <w:r w:rsidR="006D650D" w:rsidRPr="00B67843">
        <w:rPr>
          <w:noProof/>
          <w:color w:val="000000" w:themeColor="text1"/>
          <w:lang w:val="sr-Cyrl-CS"/>
        </w:rPr>
        <w:t xml:space="preserve"> 5.000 </w:t>
      </w:r>
      <w:r>
        <w:rPr>
          <w:noProof/>
          <w:color w:val="000000" w:themeColor="text1"/>
          <w:lang w:val="sr-Cyrl-CS"/>
        </w:rPr>
        <w:t>туриста</w:t>
      </w:r>
      <w:r w:rsidR="006D650D" w:rsidRPr="00B67843">
        <w:rPr>
          <w:noProof/>
          <w:color w:val="000000" w:themeColor="text1"/>
          <w:lang w:val="sr-Cyrl-CS"/>
        </w:rPr>
        <w:t xml:space="preserve">. </w:t>
      </w:r>
      <w:r>
        <w:rPr>
          <w:noProof/>
          <w:color w:val="000000" w:themeColor="text1"/>
          <w:lang w:val="sr-Cyrl-CS"/>
        </w:rPr>
        <w:t>Након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обиласка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Бијељине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као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следећу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туристичку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дестинацију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коју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посјећују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изабрана</w:t>
      </w:r>
      <w:r w:rsidR="00C734EC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је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општина</w:t>
      </w:r>
      <w:r w:rsidR="006D650D" w:rsidRPr="00B67843">
        <w:rPr>
          <w:noProof/>
          <w:color w:val="000000" w:themeColor="text1"/>
          <w:lang w:val="sr-Cyrl-CS"/>
        </w:rPr>
        <w:t xml:space="preserve"> </w:t>
      </w:r>
      <w:r>
        <w:rPr>
          <w:noProof/>
          <w:color w:val="000000" w:themeColor="text1"/>
          <w:lang w:val="sr-Cyrl-CS"/>
        </w:rPr>
        <w:t>Вишеград</w:t>
      </w:r>
      <w:r w:rsidR="006D650D" w:rsidRPr="00B67843">
        <w:rPr>
          <w:noProof/>
          <w:color w:val="000000" w:themeColor="text1"/>
          <w:lang w:val="sr-Cyrl-CS"/>
        </w:rPr>
        <w:t>.</w:t>
      </w:r>
    </w:p>
    <w:p w:rsidR="006D650D" w:rsidRPr="00B67843" w:rsidRDefault="00B67843" w:rsidP="006D650D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Асоцијација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Београдски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ЈП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Београдска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тврђава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организовали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Београдски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представила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својим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пропагадним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материјалом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штанду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одржана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22.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маја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Калемегдану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ове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манифестације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промоција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свих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учесници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представљање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гастрономије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припрема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аутентичне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хране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угоститељских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објеката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посјетиоци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сајма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могли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купе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повољним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цијенама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Београдски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поред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промоције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дестинација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Фестивал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балона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Фестивал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ватромета</w:t>
      </w:r>
      <w:r w:rsidR="006D650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D650D" w:rsidRPr="00B67843" w:rsidRDefault="006D650D" w:rsidP="006D650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30.05.2015.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подсјетило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Удружење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пензионера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Ивањице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присуство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радника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посјетили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Бању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Дворови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Етно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село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Станишићи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Дринску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ружу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подјељен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им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промотивни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D650D" w:rsidRPr="00B67843" w:rsidRDefault="006D650D" w:rsidP="006D650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30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.05.2015.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Бијељину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посјетила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група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Мркоњић</w:t>
      </w:r>
      <w:r w:rsidR="00B40CD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C734EC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посјетили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Градски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парк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манастир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Св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Василија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Острошког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центар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затим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манастир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Св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Петке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Етно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село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Станишићи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''.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</w:pP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Туристичка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организација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Бијељине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представила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се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10.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Сајаму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привреде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туризма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Дервенти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одржаном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од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25.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до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27.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августа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Сајам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окупио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преко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стотину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излагача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из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 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Републике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Српске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Федерације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БиХ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Словеније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Њемачке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Италије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Организатор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сајма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био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 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Спортско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-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културни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центар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Дервента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суорганизатор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Туристичка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организација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општине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Дервента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Покровитељи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сајма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: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Влада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РС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Министарство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трговине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туризма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општина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Дервента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Сајам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отворила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предсједник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Владе</w:t>
      </w:r>
      <w:r w:rsidR="008926A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Жељка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Цвијановић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Ово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један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од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препознатљивих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 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привредних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догађаја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Републици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Српској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који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већ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десет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година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успјешно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организује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Дервенти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уз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подршку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покровитељство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Министарства</w:t>
      </w:r>
      <w:r w:rsidR="00C734EC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трговине</w:t>
      </w:r>
      <w:r w:rsidR="00C734EC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</w:t>
      </w:r>
      <w:r w:rsidR="00C734EC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туризма</w:t>
      </w:r>
      <w:r w:rsidR="00C734EC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,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ангажман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Привредне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коморе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привредника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који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допринијели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позитивном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пословном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окружењу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који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карактерише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ову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општину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. </w:t>
      </w:r>
    </w:p>
    <w:p w:rsidR="00B17815" w:rsidRPr="00B67843" w:rsidRDefault="00B67843" w:rsidP="00AF16F5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Поводом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прве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деценије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сајма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уручена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признања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појединцима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привредним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субјектима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који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протеклом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периоду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учествовали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сајму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или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помогли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његовој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>организацији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shd w:val="clear" w:color="auto" w:fill="DDDDDD"/>
          <w:lang w:val="sr-Cyrl-CS"/>
        </w:rPr>
        <w:t xml:space="preserve">. 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br/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Дана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22.08.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29.08.2015.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посјетиле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двије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групе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из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Вршца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била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домаћин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гостима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из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Вршца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Гости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посјетили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Музеј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Семберију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Градски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парк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Манастир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Св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Василија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Острошког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центар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Етно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село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Станишићи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.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представила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другом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сајму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кућне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радиности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старих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заната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традиционалне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гастрономије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туризма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Лакташи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Етно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2015''.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Сајам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одржан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17.10.2015.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Спортској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дворани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Лакташи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почетком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10.00.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часова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организатор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сајма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Општина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Лакташи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Лакташи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сајму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представило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44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излагача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из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цијелог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региона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током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трајања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сајма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учеснике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посјетиоце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организовани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различити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садржаји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као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што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панел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дискусије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модна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ревија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радионице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дјецу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друго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.</w:t>
      </w:r>
    </w:p>
    <w:p w:rsidR="00E77CF0" w:rsidRPr="00B67843" w:rsidRDefault="00B67843" w:rsidP="00E77CF0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позив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Вишеград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присуствовали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смо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Дрински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котлић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Вишеграду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одржана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тераси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испод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хотела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Андрићев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конак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учествовало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14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котлића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Србије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Црне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Горе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поменуту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отворио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начелник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Вишеград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Организатор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оранизација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Вишеград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подржала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општина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Вишеград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W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кроз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Људи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људима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оквиру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прекограничног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региона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Дрина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Тара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пројекта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Фостеринг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регионал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цооператион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анд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баланцед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территориал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девелопмент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оф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W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естерн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Балкан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цоунтриес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тхе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процесс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w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ардс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интегратион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финансиран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средствима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прва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мјеста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организатор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уручио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награде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доноране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кроз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поменути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пројекат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организатора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био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обезбјеђен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смјештај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мотелу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Аура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Вишеграду</w:t>
      </w:r>
      <w:r w:rsidR="00E77C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D650D" w:rsidRPr="00B67843" w:rsidRDefault="006D650D" w:rsidP="006D650D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ab/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позив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ТОРС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-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узела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учешће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трећој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реду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манифестацији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Дани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Српске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Србији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''.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Овогодишњи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Дани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Српске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Србији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одржани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више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локација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: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Нови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Сад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Београд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Суботица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Вршац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Аранђеловац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Пландиште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периоду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од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19.10.2015.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до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23.10.2015.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Манифестацију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отворио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министар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трговине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туризма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РС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Предраг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Глухаковић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Новом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Саду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19.10.2015.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10.00.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часова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заједничком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штанду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ТОРС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-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представила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Новом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Саду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Београду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својим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пропагадним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материјалом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штадну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ТОРС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-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биле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: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Бања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Луке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Латкаша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Зворника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Источног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Сарајева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Вишеграда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Билеће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Требиња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Етно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село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Станишићи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Током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пет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дана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трајања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ове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манифестације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посјетиоци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су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имали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богат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културно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–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умјетнички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пограм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: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концерте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позоришне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представе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изложбе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слика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промоције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књига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презентације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туристичких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потенцијала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Републике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Српске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као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многе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друге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садржаје</w:t>
      </w:r>
      <w:r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.</w:t>
      </w:r>
    </w:p>
    <w:p w:rsidR="006D650D" w:rsidRPr="00B67843" w:rsidRDefault="00B67843" w:rsidP="00B3708A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Прњаворском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селу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Гусак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одржана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манифестација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Казанијада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којој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били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присутни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представници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Као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једина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званична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смотра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ове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врсте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Казанијада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ове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године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окупила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велики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број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гостију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из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прњаворских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сусједних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општина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Основна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намјера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ове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манифестације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јавности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представи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начин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који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долази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до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квалитетне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ракије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тржишту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Директорица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Прњавор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истакла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ова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манифестација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представља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добру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прилику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да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афирмише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сеоски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туризам</w:t>
      </w:r>
      <w:r w:rsidR="006D650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.</w:t>
      </w:r>
    </w:p>
    <w:p w:rsidR="00B3708A" w:rsidRPr="00B67843" w:rsidRDefault="00B67843" w:rsidP="00B3708A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представила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14.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Међународном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сајму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привреде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господарства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Брчко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2015''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чији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организатор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Привредна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комора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Брчко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Дистрикта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БиХ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штанду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Привредне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коморе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представили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смо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својим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пропагадним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материјалом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.</w:t>
      </w:r>
    </w:p>
    <w:p w:rsidR="00B3708A" w:rsidRPr="00B67843" w:rsidRDefault="00B67843" w:rsidP="00B3708A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65087F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новембру</w:t>
      </w:r>
      <w:r w:rsidR="0065087F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2015.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</w:t>
      </w:r>
      <w:r w:rsidR="0065087F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Министарство</w:t>
      </w:r>
      <w:r w:rsidR="00713AA5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трговине</w:t>
      </w:r>
      <w:r w:rsidR="00713AA5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713AA5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туризма</w:t>
      </w:r>
      <w:r w:rsidR="00713AA5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Републике</w:t>
      </w:r>
      <w:r w:rsidR="00713AA5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Српске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одржало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састанак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директорима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бања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директорима</w:t>
      </w:r>
      <w:r w:rsidR="0065087F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туристичких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Републике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Српске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Састанак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одржан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Теслићу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тема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састанка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била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могућност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оснивања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Удружења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бања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Републике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Српске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.</w:t>
      </w:r>
    </w:p>
    <w:p w:rsidR="00B3708A" w:rsidRPr="00B67843" w:rsidRDefault="00B67843" w:rsidP="00B3708A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сајму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рукотворина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домаће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хране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Сремској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Митровици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промовисали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смо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понуду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нашег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штанду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Удружења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жена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Бели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анђео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из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Дворова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.</w:t>
      </w:r>
    </w:p>
    <w:p w:rsidR="00B3708A" w:rsidRPr="00B67843" w:rsidRDefault="00B67843" w:rsidP="00B3708A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позив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Привредне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коморе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узели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смо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учешће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10.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Сајму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Етно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хране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пића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D50B5D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Београду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гдје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престављена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понуда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заједно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Етно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селом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Станишићи</w:t>
      </w:r>
      <w:r w:rsidR="00713AA5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рестораном</w:t>
      </w:r>
      <w:r w:rsidR="00713AA5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Ловац</w:t>
      </w:r>
      <w:r w:rsidR="00713AA5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АД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.</w:t>
      </w:r>
    </w:p>
    <w:p w:rsidR="00B3708A" w:rsidRPr="00B67843" w:rsidRDefault="00B67843" w:rsidP="00B3708A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Од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26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28.11.2015.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одржан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седми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Међународни</w:t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сајам</w:t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сеоског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сајам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зимнице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домаће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радиности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Крагујевцу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гдје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представила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заједно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осталим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локалним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туристичким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организацијама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штанду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Организатори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сајма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Крагујевац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Шумадија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сајам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излагачком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делу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представиле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агенције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бањска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лијечилишта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рекреативни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центри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представници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сеоског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ловног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домаћинства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баве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производњом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зимнице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хране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Програмски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дио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сајма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чинила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презентација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појединачних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туристичких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производа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посебним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освртом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сеоски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туризам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сајма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одржана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презентација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разноврсних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производа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удружења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жена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винара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воћара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етно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ресторана</w:t>
      </w:r>
      <w:r w:rsidR="00B3708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B3708A" w:rsidRPr="00B67843" w:rsidRDefault="00B67843" w:rsidP="00B3708A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lastRenderedPageBreak/>
        <w:t>Туристичка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представила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заједно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осталим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туристичким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организацијама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из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Републике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Српске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отварању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зимске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сезоне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Јахорини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Почетак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зимске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сезоне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2015/2016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уприличен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хотелу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Бистрица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Јахорини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Олимпијског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центра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Јахорина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Отварању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присуствовали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директор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Олимпијског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центра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Јахорина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представници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Министарства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трговине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туризма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Републике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Српске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Градоначелник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Источног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Сарајева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гдје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истакнуто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приоритет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изградања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Авантуристичког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парка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дјецу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за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које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Олимпијски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центар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Јахорина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добио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средства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од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СТ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ЕП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.</w:t>
      </w:r>
    </w:p>
    <w:p w:rsidR="00B3708A" w:rsidRPr="00B67843" w:rsidRDefault="00B67843" w:rsidP="00B3708A">
      <w:pPr>
        <w:pStyle w:val="NoSpacing"/>
        <w:ind w:firstLine="720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манифестацији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Изложба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рукотворина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Купинову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штанду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Удружења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жена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Бели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анђео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''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из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Дворова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учешће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узела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Туристичка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организација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града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>Бијељине</w:t>
      </w:r>
      <w:r w:rsidR="00B3708A" w:rsidRPr="00B6784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val="sr-Cyrl-CS"/>
        </w:rPr>
        <w:t xml:space="preserve">. </w:t>
      </w:r>
    </w:p>
    <w:p w:rsidR="00B17815" w:rsidRPr="00B67843" w:rsidRDefault="00B17815" w:rsidP="006B0D0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17815" w:rsidRPr="00B67843" w:rsidRDefault="00B17815" w:rsidP="006B0D0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B0D09" w:rsidRPr="00B67843" w:rsidRDefault="00B67843" w:rsidP="006B0D09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Организовање</w:t>
      </w:r>
      <w:r w:rsidR="006B0D09" w:rsidRPr="00B6784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манифестација</w:t>
      </w:r>
    </w:p>
    <w:p w:rsidR="00B969B0" w:rsidRPr="00B67843" w:rsidRDefault="006B0D09" w:rsidP="006D650D">
      <w:pPr>
        <w:pStyle w:val="NoSpacing"/>
        <w:jc w:val="both"/>
        <w:rPr>
          <w:noProof/>
          <w:sz w:val="24"/>
          <w:szCs w:val="24"/>
          <w:lang w:val="sr-Cyrl-CS"/>
        </w:rPr>
      </w:pPr>
      <w:r w:rsidRPr="00B67843">
        <w:rPr>
          <w:noProof/>
          <w:lang w:val="sr-Cyrl-CS"/>
        </w:rPr>
        <w:tab/>
      </w:r>
    </w:p>
    <w:p w:rsidR="006D650D" w:rsidRPr="00B67843" w:rsidRDefault="00B67843" w:rsidP="006D650D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Шести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Сајам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туризма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гастро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културе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noProof/>
          <w:sz w:val="24"/>
          <w:szCs w:val="24"/>
          <w:lang w:val="sr-Cyrl-CS"/>
        </w:rPr>
        <w:t>Бијељина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Cyrl-CS"/>
        </w:rPr>
        <w:t>турист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2015''.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одржан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07.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08.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маја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године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Етно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селу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Станишићи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хотелу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сала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Москва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Cyrl-CS"/>
        </w:rPr>
        <w:t>гдје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500 </w:t>
      </w:r>
      <w:r>
        <w:rPr>
          <w:rFonts w:ascii="Times New Roman" w:hAnsi="Times New Roman"/>
          <w:noProof/>
          <w:sz w:val="24"/>
          <w:szCs w:val="24"/>
          <w:lang w:val="sr-Cyrl-CS"/>
        </w:rPr>
        <w:t>метара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квадратних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понуду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изложило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129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излагача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Највећи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излагача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Републике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Српске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Међу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излагачима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били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излагачи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Србије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Федерације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БиХ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Излагачи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туристичке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туристичке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агенције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хотелијери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привредни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субјекти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дјелатност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везана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угоститељство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туризам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те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произвођачи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здраве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хране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удружења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представила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гастро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понуду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својих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локалних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заједница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промовисала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манифестације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богату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понуду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представили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удружења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појединци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баве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израдом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рукотворина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Овај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сајам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посјетило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око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1.500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посјетилаца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6D650D" w:rsidRPr="00B67843" w:rsidRDefault="006D650D" w:rsidP="006D650D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Првог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сајма</w:t>
      </w:r>
      <w:r w:rsidR="008926AA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испред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организатора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поздравну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упутио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Јован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Љубојевић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директор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Туристичке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Града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Бијељина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док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Сајам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испред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градске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града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Бијељине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свечано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отворио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Миле</w:t>
      </w:r>
      <w:r w:rsidR="002531CE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Пејчић</w:t>
      </w:r>
      <w:r w:rsidR="00F209C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начелник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одељења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привреду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пољопривреду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Сајам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отворен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културно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умјетнички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програм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Хора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Свети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Ђорђе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Првог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сајма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одржана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презентација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туристичких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дестинација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Републике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Српске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Министарства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трговине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туризма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Републике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Српске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синдикалне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Другог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сајма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одржана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презентација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гастрокултуре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Своју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гастропонуду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представили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хотели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ресторани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удружења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–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произвођачи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здраве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хране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Гастро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презентација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одржана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другог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сајма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културно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умјетнички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програм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КУД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Дворови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Одржана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13AA5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презентација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региона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Војводине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седам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чудеса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Војводине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–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прича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дворцима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каштелима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велепосједницима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покрајине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).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Презентацију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одржало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Удружење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''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Пласматис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''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Војводине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F16F5" w:rsidRPr="00B67843" w:rsidRDefault="00B67843" w:rsidP="006D650D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Сајам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затворен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подјелу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захвалница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учесницима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Сајма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туризма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гастро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културе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6D650D" w:rsidRPr="00B67843" w:rsidRDefault="006D650D" w:rsidP="006D650D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/>
          <w:noProof/>
          <w:sz w:val="24"/>
          <w:szCs w:val="24"/>
          <w:lang w:val="sr-Cyrl-CS"/>
        </w:rPr>
        <w:t>5.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Међународна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Умјетничка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колонија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''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Бијељина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–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Бродац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>'' 2015.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одржана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15.06.2015.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20.06.2015.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Семберском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Салашу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Циљ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ове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манифестације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био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промоција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афирмација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сеоског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туризма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туристичких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потенцијала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Бијељине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околине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затим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васпитно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образовни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омогућава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талентованим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ученицима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студентима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уче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познатих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умјетника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различитих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/>
          <w:noProof/>
          <w:sz w:val="24"/>
          <w:szCs w:val="24"/>
          <w:lang w:val="sr-Cyrl-CS"/>
        </w:rPr>
        <w:t>области</w:t>
      </w:r>
      <w:r w:rsidRPr="00B67843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Свечано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отварање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Умјетничке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било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15.06.2015.</w:t>
      </w:r>
      <w:r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Дому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културе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Броцу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културно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умјетнички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Испред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градске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града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Бијељине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отворио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Начелник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друштвене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дјелатности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Славко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Башић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госте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манифестације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поздравио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директор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Туристичке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Бијељина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Јован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Љубојевић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учествовало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двадесет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умјетник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Србије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Републике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Српске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Брчко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дистрикта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осам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умјетника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Бијељине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Двадесет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умјетника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било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смјештено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Семберском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Салашу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умјетници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Бијељине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такође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били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Студенти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Слобомир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</w:t>
      </w:r>
      <w:r w:rsidR="00F209CD" w:rsidRPr="00B67843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Универзитета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боравили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Семберском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Салашу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учесницима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били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спремни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пренесу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знања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искуство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Учесницима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била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обезбјеђена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сликарска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платна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папир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остали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сликарски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насликано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45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слика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платну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13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графика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папиру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Затварање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било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19.06.2015.</w:t>
      </w:r>
      <w:r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Галерији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Центра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културу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отварање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изложбе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слика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Градоначелник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града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Бијељине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Мићо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Мићић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затворио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овогодишњу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отворио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изложбу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слика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Директор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Туристичке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Бијељине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том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уручио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Градоначелнику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слику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поклон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граду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Бијељине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5.</w:t>
      </w:r>
      <w:r>
        <w:rPr>
          <w:rFonts w:ascii="Times New Roman" w:hAnsi="Times New Roman"/>
          <w:noProof/>
          <w:sz w:val="24"/>
          <w:szCs w:val="24"/>
          <w:lang w:val="sr-Cyrl-CS"/>
        </w:rPr>
        <w:t>Међународне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Умјетничке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noProof/>
          <w:sz w:val="24"/>
          <w:szCs w:val="24"/>
          <w:lang w:val="sr-Cyrl-CS"/>
        </w:rPr>
        <w:t>Бијељина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Бродац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>'' 2015.</w:t>
      </w:r>
      <w:r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Затварање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завршено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подјелу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каталога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захвалница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учесницима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Умјетничке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колоније</w:t>
      </w:r>
      <w:r w:rsidR="006D650D" w:rsidRPr="00B67843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склопу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прославе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Пантелинских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дана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одржана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Савска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регата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01.08.2015.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г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. 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траси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дугој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око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24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километара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од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локалитета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Суботиште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Црњелову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Раче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Пријем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учесника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камп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од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31.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јула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од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16:00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часова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.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Пријава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учесника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почела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 01.08.2015.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г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од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07:00.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трајала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старта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регате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.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регати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учествовало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150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чамаса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око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800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учесника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Најаву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старта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регате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10:00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часова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објавио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Градоначелник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града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Бијељине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Мићо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Мићић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. 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Регати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била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предвиђена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строга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правила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понашања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води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како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била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угрожена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безбједност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учесника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Пловилима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могла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управљати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само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пунољетна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лица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увјерењем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односно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дозволом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за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управљање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пловилом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.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безбједности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учесника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као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ранијим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регатама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бринуле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екипе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Пограничне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полиције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Центра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јавне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безбједности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Бијељина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ронилачки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клубови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„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Пантери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“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„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Наутилус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“,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Дом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здравља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Цивилна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заштита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подршку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дали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Удружење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риболоваца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„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Риба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“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ЈП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„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Комуналац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“.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Долазак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циљ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18.00.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часова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.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склопу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прославе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Пантелинских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дана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одржан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Златни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котлић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Семберије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 xml:space="preserve"> 2015“ 07.08.2015.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г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lang w:val="sr-Cyrl-CS"/>
        </w:rPr>
        <w:t>.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локацији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Пет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језера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Бијељини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Организатор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манифестације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Туристичка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организација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Бијељина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покровитељје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Градска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управа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града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Бијељина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,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суорганизатори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спортско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-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риболовно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друштво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„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Риба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“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ДОО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„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Глобус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“.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За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учеснике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котлића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обезбјеђена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риба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дрва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,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екипе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нису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плаћале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котизацију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за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учешће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Било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20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пријављених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екипа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из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Бијељине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сусједних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општина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које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такмичиле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припремању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рибље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чорбе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.</w:t>
      </w:r>
      <w:r w:rsidR="00713AA5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Ову</w:t>
      </w:r>
      <w:r w:rsidR="00713AA5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манифестацију</w:t>
      </w:r>
      <w:r w:rsidR="00713AA5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посјетило</w:t>
      </w:r>
      <w:r w:rsidR="00713AA5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713AA5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око</w:t>
      </w:r>
      <w:r w:rsidR="00713AA5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500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посјетилаца</w:t>
      </w:r>
      <w:r w:rsidR="00713AA5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.</w:t>
      </w:r>
    </w:p>
    <w:p w:rsidR="006D650D" w:rsidRPr="00B67843" w:rsidRDefault="00B67843" w:rsidP="006D650D">
      <w:pPr>
        <w:pStyle w:val="NoSpacing"/>
        <w:ind w:firstLine="720"/>
        <w:jc w:val="both"/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Три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првопласиране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екипе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награђене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опремом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за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риболов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Награде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додјелио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градоначелник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града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Бијељина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Мићо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Мићић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.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два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велика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котлића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организатори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спремили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око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хиљаду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порција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рибље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чорбе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која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је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подјељена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посјетиоцима</w:t>
      </w:r>
      <w:r w:rsidR="006D650D" w:rsidRPr="00B67843">
        <w:rPr>
          <w:rFonts w:ascii="Times New Roman" w:hAnsi="Times New Roman"/>
          <w:noProof/>
          <w:color w:val="262626" w:themeColor="text1" w:themeTint="D9"/>
          <w:sz w:val="24"/>
          <w:szCs w:val="24"/>
          <w:shd w:val="clear" w:color="auto" w:fill="FFFFFF"/>
          <w:lang w:val="sr-Cyrl-CS"/>
        </w:rPr>
        <w:t>.</w:t>
      </w:r>
    </w:p>
    <w:p w:rsidR="00B969B0" w:rsidRPr="00B67843" w:rsidRDefault="00B969B0" w:rsidP="00AF6682">
      <w:pPr>
        <w:pStyle w:val="NoSpacing"/>
        <w:rPr>
          <w:noProof/>
          <w:sz w:val="24"/>
          <w:szCs w:val="24"/>
          <w:lang w:val="sr-Cyrl-CS"/>
        </w:rPr>
      </w:pPr>
    </w:p>
    <w:p w:rsidR="002E51E7" w:rsidRPr="00B67843" w:rsidRDefault="002E51E7" w:rsidP="00AF6682">
      <w:pPr>
        <w:pStyle w:val="NoSpacing"/>
        <w:rPr>
          <w:b/>
          <w:noProof/>
          <w:sz w:val="24"/>
          <w:szCs w:val="24"/>
          <w:lang w:val="sr-Cyrl-CS"/>
        </w:rPr>
      </w:pPr>
    </w:p>
    <w:p w:rsidR="008B52AB" w:rsidRPr="00B67843" w:rsidRDefault="00B67843" w:rsidP="00B969B0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ФИНАНСИЈСКИ</w:t>
      </w:r>
      <w:r w:rsidR="008B52AB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ИЗВЈЕШТАЈ</w:t>
      </w:r>
      <w:r w:rsidR="008B52AB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ТУРИСТИЧКЕ</w:t>
      </w:r>
      <w:r w:rsidR="008B52AB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ОРГАНИЗАЦИЈЕ</w:t>
      </w:r>
      <w:r w:rsidR="008B52AB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="008B52AB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201</w:t>
      </w:r>
      <w:r w:rsidR="00AF16F5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5</w:t>
      </w:r>
      <w:r w:rsidR="008B52AB" w:rsidRPr="00B6784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ГОДИНУ</w:t>
      </w:r>
    </w:p>
    <w:p w:rsidR="008B52AB" w:rsidRPr="00B67843" w:rsidRDefault="008B52AB" w:rsidP="00D12455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B52AB" w:rsidRPr="00B67843" w:rsidRDefault="008B52AB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послује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потрошачка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склопу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трезорског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система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буџета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8B52AB" w:rsidRPr="00B67843" w:rsidRDefault="00AF16F5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реализована</w:t>
      </w:r>
      <w:r w:rsidR="00571BB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571BB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="00571BB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71BB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износу</w:t>
      </w:r>
      <w:r w:rsidR="00571BB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278.763,18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укључена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намјенски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одобрена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Министарства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трговине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2014.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Сајам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гастрокултуре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годину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износу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7E601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600,00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6838B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6838B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намјењена</w:t>
      </w:r>
      <w:r w:rsidR="006838B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38B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трошкове</w:t>
      </w:r>
      <w:r w:rsidR="006838B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хране</w:t>
      </w:r>
      <w:r w:rsidR="006838B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38B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учеснике</w:t>
      </w:r>
      <w:r w:rsidR="006838B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сајма</w:t>
      </w:r>
      <w:r w:rsidR="006838B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837500" w:rsidRPr="00B67843" w:rsidRDefault="00837500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71BBB" w:rsidRP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За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бруто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плате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реализовано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7CE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150.922,53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837500" w:rsidRPr="00B67843" w:rsidRDefault="00837500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B52AB" w:rsidRP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Ставка</w:t>
      </w:r>
      <w:r w:rsidR="00B64DD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бруто</w:t>
      </w:r>
      <w:r w:rsidR="00B64DD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накнаде</w:t>
      </w:r>
      <w:r w:rsidR="00B64DD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B64DD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“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топли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оброк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регрес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огрев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зимница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превоз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радника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припадајућим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порезима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доприносима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реализована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износу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7CE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46.850,34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837500" w:rsidRPr="00B67843" w:rsidRDefault="00837500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B52AB" w:rsidRP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трошкове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комуналних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коришћења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телефона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интернета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поштанске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потрошено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7CE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2.902,32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837500" w:rsidRPr="00B67843" w:rsidRDefault="00837500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71BBB" w:rsidRP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Ставка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“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канцеларијски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компјутерски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чистоће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остало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реализована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износу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7CE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1.692,65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571BB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837500" w:rsidRPr="00B67843" w:rsidRDefault="00837500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B52AB" w:rsidRP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Трошкови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текућег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текуће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реализовани</w:t>
      </w:r>
      <w:r w:rsidR="00571BB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571BB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износу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7CE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560,00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837500" w:rsidRPr="00B67843" w:rsidRDefault="00837500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B52AB" w:rsidRP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Путни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трошкови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путовања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смјештаја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земљи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иностранству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дневница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путовања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земљи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иностранству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смјештаја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хране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службеним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путовањима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земљи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иностранству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превоза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личним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возилима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службеним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путовањима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земљи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иностранству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утрошка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горива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остали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службених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путовања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реализовани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износу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7CE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7.154,55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837500" w:rsidRPr="00B67843" w:rsidRDefault="00837500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B52AB" w:rsidRP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штампања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графичке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обраде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објевљивања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тендера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рекламе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пропаганде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информисања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медија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3750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израде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промотивног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филма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правне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административне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компјутерске</w:t>
      </w:r>
      <w:r w:rsidR="00AC2B0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услуге</w:t>
      </w:r>
      <w:r w:rsidR="00AC2B0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C2B0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</w:t>
      </w:r>
      <w:r w:rsidR="00AC2B0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097CE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износи</w:t>
      </w:r>
      <w:r w:rsidR="00097CE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9.698,94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837500" w:rsidRPr="00B67843" w:rsidRDefault="00837500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0444" w:rsidRP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Ставка</w:t>
      </w:r>
      <w:r w:rsidR="00360444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Остали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непоменути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обухвата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уговорених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унапређење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понуде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2365EE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манифестација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расходе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бруто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накнадечлановима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Управног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одбора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репрезентације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бруто</w:t>
      </w:r>
      <w:r w:rsidR="00B96B0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накнаде</w:t>
      </w:r>
      <w:r w:rsidR="00B96B0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B96B0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="00B96B0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="00B96B0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="00B96B0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времена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B6390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B6390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B6390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доприноса</w:t>
      </w:r>
      <w:r w:rsidR="00B6390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B6390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професионалну</w:t>
      </w:r>
      <w:r w:rsidR="00B6390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рехабилитацију</w:t>
      </w:r>
      <w:r w:rsidR="00B6390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инвалида</w:t>
      </w:r>
      <w:r w:rsidR="00B6390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расходи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јавне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таксе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расходе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судским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рјешењима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остало</w:t>
      </w:r>
      <w:r w:rsidR="0020128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реализованису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износу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87BC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57.601,79</w:t>
      </w:r>
      <w:r w:rsidR="003236D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63901" w:rsidRPr="00B67843" w:rsidRDefault="00B63901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97CE3" w:rsidRP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Издаци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набавку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постројења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опреме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расхладних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грејних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тијела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износи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577,10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61FF0" w:rsidRPr="00B67843" w:rsidRDefault="00461FF0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61FF0" w:rsidRP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Издаци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пореза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додату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вриједност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износе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802,96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461FF0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8B7695" w:rsidRPr="00B67843" w:rsidRDefault="008B7695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926AA" w:rsidRDefault="008926AA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B67843" w:rsidRPr="00B67843" w:rsidRDefault="00B67843" w:rsidP="00D1245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8B52AB" w:rsidRPr="00B67843" w:rsidRDefault="00B67843" w:rsidP="00D12455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Назив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потрошачке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</w:p>
    <w:p w:rsidR="008B52AB" w:rsidRPr="00B67843" w:rsidRDefault="00B67843" w:rsidP="00D12455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ПЈТ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: 0005510</w:t>
      </w:r>
    </w:p>
    <w:p w:rsidR="008B52AB" w:rsidRPr="00B67843" w:rsidRDefault="00B67843" w:rsidP="00D12455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Фонд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01</w:t>
      </w:r>
    </w:p>
    <w:p w:rsidR="008B52AB" w:rsidRPr="00B67843" w:rsidRDefault="008B52AB" w:rsidP="008B52AB">
      <w:pPr>
        <w:pStyle w:val="NoSpacing"/>
        <w:rPr>
          <w:noProof/>
          <w:sz w:val="24"/>
          <w:szCs w:val="24"/>
          <w:lang w:val="sr-Cyrl-CS"/>
        </w:rPr>
      </w:pPr>
    </w:p>
    <w:tbl>
      <w:tblPr>
        <w:tblStyle w:val="TableGrid"/>
        <w:tblW w:w="17148" w:type="dxa"/>
        <w:tblInd w:w="108" w:type="dxa"/>
        <w:tblLayout w:type="fixed"/>
        <w:tblLook w:val="04A0"/>
      </w:tblPr>
      <w:tblGrid>
        <w:gridCol w:w="567"/>
        <w:gridCol w:w="709"/>
        <w:gridCol w:w="992"/>
        <w:gridCol w:w="2835"/>
        <w:gridCol w:w="1560"/>
        <w:gridCol w:w="1559"/>
        <w:gridCol w:w="1417"/>
        <w:gridCol w:w="5525"/>
        <w:gridCol w:w="1984"/>
      </w:tblGrid>
      <w:tr w:rsidR="002365EE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2365EE" w:rsidRPr="00B67843" w:rsidRDefault="00B67843" w:rsidP="00215CF9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Група</w:t>
            </w:r>
          </w:p>
        </w:tc>
        <w:tc>
          <w:tcPr>
            <w:tcW w:w="709" w:type="dxa"/>
          </w:tcPr>
          <w:p w:rsidR="002365EE" w:rsidRPr="00B67843" w:rsidRDefault="00B67843" w:rsidP="00215CF9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Подгрупа</w:t>
            </w:r>
          </w:p>
        </w:tc>
        <w:tc>
          <w:tcPr>
            <w:tcW w:w="992" w:type="dxa"/>
          </w:tcPr>
          <w:p w:rsidR="002365EE" w:rsidRPr="00B67843" w:rsidRDefault="00B67843" w:rsidP="00215CF9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Аналитички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конто</w:t>
            </w:r>
          </w:p>
        </w:tc>
        <w:tc>
          <w:tcPr>
            <w:tcW w:w="2835" w:type="dxa"/>
          </w:tcPr>
          <w:p w:rsidR="002365EE" w:rsidRPr="00B67843" w:rsidRDefault="00B67843" w:rsidP="00215CF9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Опис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аналитичког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конта</w:t>
            </w:r>
          </w:p>
        </w:tc>
        <w:tc>
          <w:tcPr>
            <w:tcW w:w="1560" w:type="dxa"/>
          </w:tcPr>
          <w:p w:rsidR="002365EE" w:rsidRPr="00B67843" w:rsidRDefault="00B67843" w:rsidP="00215CF9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РЕАЛИЗАЦИЈА</w:t>
            </w:r>
            <w:r w:rsidR="002365EE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БУЏЕТА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2014</w:t>
            </w:r>
            <w:r w:rsidR="002365EE" w:rsidRPr="00B67843">
              <w:rPr>
                <w:noProof/>
                <w:sz w:val="24"/>
                <w:szCs w:val="24"/>
                <w:lang w:val="sr-Cyrl-CS"/>
              </w:rPr>
              <w:t>.</w:t>
            </w:r>
            <w:r>
              <w:rPr>
                <w:noProof/>
                <w:sz w:val="24"/>
                <w:szCs w:val="24"/>
                <w:lang w:val="sr-Cyrl-CS"/>
              </w:rPr>
              <w:t>Г</w:t>
            </w:r>
            <w:r w:rsidR="002365EE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</w:tcPr>
          <w:p w:rsidR="002365EE" w:rsidRPr="00B67843" w:rsidRDefault="00B67843" w:rsidP="00215CF9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ПЛАН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БУЏЕТА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2015</w:t>
            </w:r>
            <w:r w:rsidR="002365EE" w:rsidRPr="00B67843">
              <w:rPr>
                <w:noProof/>
                <w:sz w:val="24"/>
                <w:szCs w:val="24"/>
                <w:lang w:val="sr-Cyrl-CS"/>
              </w:rPr>
              <w:t>.</w:t>
            </w:r>
            <w:r>
              <w:rPr>
                <w:noProof/>
                <w:sz w:val="24"/>
                <w:szCs w:val="24"/>
                <w:lang w:val="sr-Cyrl-CS"/>
              </w:rPr>
              <w:t>Г</w:t>
            </w:r>
            <w:r w:rsidR="002365EE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17" w:type="dxa"/>
          </w:tcPr>
          <w:p w:rsidR="002365EE" w:rsidRPr="00B67843" w:rsidRDefault="00B67843" w:rsidP="00215CF9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РЕАЛИЗАЦИЈА</w:t>
            </w:r>
            <w:r w:rsidR="002365EE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БУЏЕТА</w:t>
            </w:r>
            <w:r w:rsidR="002365EE" w:rsidRPr="00B67843">
              <w:rPr>
                <w:noProof/>
                <w:sz w:val="24"/>
                <w:szCs w:val="24"/>
                <w:lang w:val="sr-Cyrl-CS"/>
              </w:rPr>
              <w:t xml:space="preserve"> 201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>5</w:t>
            </w:r>
            <w:r w:rsidR="002365EE" w:rsidRPr="00B67843">
              <w:rPr>
                <w:noProof/>
                <w:sz w:val="24"/>
                <w:szCs w:val="24"/>
                <w:lang w:val="sr-Cyrl-CS"/>
              </w:rPr>
              <w:t>.</w:t>
            </w:r>
            <w:r>
              <w:rPr>
                <w:noProof/>
                <w:sz w:val="24"/>
                <w:szCs w:val="24"/>
                <w:lang w:val="sr-Cyrl-CS"/>
              </w:rPr>
              <w:t>Г</w:t>
            </w:r>
            <w:r w:rsidR="002365EE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4 1</w:t>
            </w: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ТЕКУЋИ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РАСХОДИ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279.627,85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280.150,00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278.763,18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411</w:t>
            </w: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Расходи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лична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примања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208.614,92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197.951,00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197.772,87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411100</w:t>
            </w: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Бруто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плате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запослених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157.662,23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150.951,00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150.922,53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411200</w:t>
            </w: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Бруто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накнаде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запослених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noProof/>
                <w:sz w:val="24"/>
                <w:szCs w:val="24"/>
                <w:lang w:val="sr-Cyrl-CS"/>
              </w:rPr>
              <w:t>топли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оброк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noProof/>
                <w:sz w:val="24"/>
                <w:szCs w:val="24"/>
                <w:lang w:val="sr-Cyrl-CS"/>
              </w:rPr>
              <w:t>превоз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noProof/>
                <w:sz w:val="24"/>
                <w:szCs w:val="24"/>
                <w:lang w:val="sr-Cyrl-CS"/>
              </w:rPr>
              <w:t>регрес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noProof/>
                <w:sz w:val="24"/>
                <w:szCs w:val="24"/>
                <w:lang w:val="sr-Cyrl-CS"/>
              </w:rPr>
              <w:t>огрев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noProof/>
                <w:sz w:val="24"/>
                <w:szCs w:val="24"/>
                <w:lang w:val="sr-Cyrl-CS"/>
              </w:rPr>
              <w:t>зимница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50.952,69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47.000,00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46.850,34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412</w:t>
            </w: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Расходи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коришћење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роба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и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услуга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71.012,93</w:t>
            </w:r>
          </w:p>
        </w:tc>
        <w:tc>
          <w:tcPr>
            <w:tcW w:w="1559" w:type="dxa"/>
          </w:tcPr>
          <w:p w:rsidR="00AC2B0F" w:rsidRPr="00B67843" w:rsidRDefault="00B96B05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81.396</w:t>
            </w:r>
            <w:r w:rsidR="008F62B3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79.610,25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412200</w:t>
            </w: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Трошкови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комуналних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услуга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4.093,77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3.669,00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2.902,32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412300</w:t>
            </w: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Набавка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материјала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1.337,72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1.700,00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1.692,65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412500</w:t>
            </w: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Трошкови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текућег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одржавања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81,90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560,00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560,00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412600</w:t>
            </w: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Путни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трошкови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5.831,21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7.500,00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7.154,55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412700</w:t>
            </w: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Расходи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стручне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услуге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9.156,31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9.700,00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9.698,94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412900</w:t>
            </w: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Остали</w:t>
            </w:r>
            <w:r w:rsidR="008B196E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непоменути</w:t>
            </w:r>
            <w:r w:rsidR="008B196E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расходи</w:t>
            </w:r>
            <w:r w:rsidR="008B196E" w:rsidRPr="00B67843">
              <w:rPr>
                <w:noProof/>
                <w:sz w:val="24"/>
                <w:szCs w:val="24"/>
                <w:lang w:val="sr-Cyrl-CS"/>
              </w:rPr>
              <w:t xml:space="preserve"> - </w:t>
            </w:r>
            <w:r>
              <w:rPr>
                <w:noProof/>
                <w:sz w:val="24"/>
                <w:szCs w:val="24"/>
                <w:lang w:val="sr-Cyrl-CS"/>
              </w:rPr>
              <w:t>Расходи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унапређење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туристичке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понуде</w:t>
            </w:r>
            <w:r w:rsidR="00B96B05" w:rsidRPr="00B67843">
              <w:rPr>
                <w:noProof/>
                <w:sz w:val="24"/>
                <w:szCs w:val="24"/>
                <w:lang w:val="sr-Cyrl-CS"/>
              </w:rPr>
              <w:t>:</w:t>
            </w:r>
          </w:p>
          <w:p w:rsidR="00A65AB4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Бруто</w:t>
            </w:r>
            <w:r w:rsidR="00A65AB4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накнаде</w:t>
            </w:r>
            <w:r w:rsidR="00A65AB4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УО</w:t>
            </w:r>
            <w:r w:rsidR="00A65AB4" w:rsidRPr="00B67843">
              <w:rPr>
                <w:noProof/>
                <w:sz w:val="24"/>
                <w:szCs w:val="24"/>
                <w:lang w:val="sr-Cyrl-CS"/>
              </w:rPr>
              <w:t xml:space="preserve"> 19.900,44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 xml:space="preserve"> 2015.</w:t>
            </w:r>
            <w:r>
              <w:rPr>
                <w:noProof/>
                <w:sz w:val="24"/>
                <w:szCs w:val="24"/>
                <w:lang w:val="sr-Cyrl-CS"/>
              </w:rPr>
              <w:t>г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  <w:p w:rsidR="00C16BB4" w:rsidRPr="00B67843" w:rsidRDefault="00C16BB4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  <w:r w:rsidR="00B67843">
              <w:rPr>
                <w:noProof/>
                <w:sz w:val="24"/>
                <w:szCs w:val="24"/>
                <w:lang w:val="sr-Cyrl-CS"/>
              </w:rPr>
              <w:t>Организација</w:t>
            </w:r>
            <w:r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манифестација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(</w:t>
            </w:r>
            <w:r w:rsidR="00B67843">
              <w:rPr>
                <w:noProof/>
                <w:sz w:val="24"/>
                <w:szCs w:val="24"/>
                <w:lang w:val="sr-Cyrl-CS"/>
              </w:rPr>
              <w:t>сајма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туризма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, </w:t>
            </w:r>
            <w:r w:rsidR="00B67843">
              <w:rPr>
                <w:noProof/>
                <w:sz w:val="24"/>
                <w:szCs w:val="24"/>
                <w:lang w:val="sr-Cyrl-CS"/>
              </w:rPr>
              <w:t>Умјетничка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колонија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, </w:t>
            </w:r>
            <w:r w:rsidR="00B67843">
              <w:rPr>
                <w:noProof/>
                <w:sz w:val="24"/>
                <w:szCs w:val="24"/>
                <w:lang w:val="sr-Cyrl-CS"/>
              </w:rPr>
              <w:t>Савска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регата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, </w:t>
            </w:r>
            <w:r w:rsidR="00B67843">
              <w:rPr>
                <w:noProof/>
                <w:sz w:val="24"/>
                <w:szCs w:val="24"/>
                <w:lang w:val="sr-Cyrl-CS"/>
              </w:rPr>
              <w:t>Златни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котлић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, </w:t>
            </w:r>
            <w:r w:rsidR="00B67843">
              <w:rPr>
                <w:noProof/>
                <w:sz w:val="24"/>
                <w:szCs w:val="24"/>
                <w:lang w:val="sr-Cyrl-CS"/>
              </w:rPr>
              <w:t>сајам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туризма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у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Београду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>)</w:t>
            </w:r>
            <w:r w:rsidR="00A65AB4" w:rsidRPr="00B67843">
              <w:rPr>
                <w:noProof/>
                <w:sz w:val="24"/>
                <w:szCs w:val="24"/>
                <w:lang w:val="sr-Cyrl-CS"/>
              </w:rPr>
              <w:t xml:space="preserve"> 31.512,58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за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 xml:space="preserve"> 2015.</w:t>
            </w:r>
            <w:r w:rsidR="00B67843">
              <w:rPr>
                <w:noProof/>
                <w:sz w:val="24"/>
                <w:szCs w:val="24"/>
                <w:lang w:val="sr-Cyrl-CS"/>
              </w:rPr>
              <w:t>г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  <w:p w:rsidR="00713AA5" w:rsidRPr="00B67843" w:rsidRDefault="00713AA5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  <w:r w:rsidR="00B67843">
              <w:rPr>
                <w:noProof/>
                <w:sz w:val="24"/>
                <w:szCs w:val="24"/>
                <w:lang w:val="sr-Cyrl-CS"/>
              </w:rPr>
              <w:t>расходи</w:t>
            </w:r>
            <w:r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по</w:t>
            </w:r>
            <w:r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основу</w:t>
            </w:r>
            <w:r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репрезентације</w:t>
            </w:r>
            <w:r w:rsidRPr="00B67843">
              <w:rPr>
                <w:noProof/>
                <w:sz w:val="24"/>
                <w:szCs w:val="24"/>
                <w:lang w:val="sr-Cyrl-CS"/>
              </w:rPr>
              <w:t xml:space="preserve"> 1.473,30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за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 xml:space="preserve"> 2015.</w:t>
            </w:r>
            <w:r w:rsidR="00B67843">
              <w:rPr>
                <w:noProof/>
                <w:sz w:val="24"/>
                <w:szCs w:val="24"/>
                <w:lang w:val="sr-Cyrl-CS"/>
              </w:rPr>
              <w:t>г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  <w:p w:rsidR="00713AA5" w:rsidRPr="00B67843" w:rsidRDefault="00C16BB4" w:rsidP="00713AA5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-</w:t>
            </w:r>
            <w:r w:rsidR="00B67843">
              <w:rPr>
                <w:noProof/>
                <w:sz w:val="24"/>
                <w:szCs w:val="24"/>
                <w:lang w:val="sr-Cyrl-CS"/>
              </w:rPr>
              <w:t>расходи</w:t>
            </w:r>
            <w:r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за</w:t>
            </w:r>
            <w:r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бруто</w:t>
            </w:r>
            <w:r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наканде</w:t>
            </w:r>
            <w:r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за</w:t>
            </w:r>
            <w:r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прив</w:t>
            </w:r>
            <w:r w:rsidRPr="00B67843">
              <w:rPr>
                <w:noProof/>
                <w:sz w:val="24"/>
                <w:szCs w:val="24"/>
                <w:lang w:val="sr-Cyrl-CS"/>
              </w:rPr>
              <w:t>.</w:t>
            </w:r>
            <w:r w:rsidR="00B67843">
              <w:rPr>
                <w:noProof/>
                <w:sz w:val="24"/>
                <w:szCs w:val="24"/>
                <w:lang w:val="sr-Cyrl-CS"/>
              </w:rPr>
              <w:t>и</w:t>
            </w:r>
            <w:r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пов</w:t>
            </w:r>
            <w:r w:rsidRPr="00B67843">
              <w:rPr>
                <w:noProof/>
                <w:sz w:val="24"/>
                <w:szCs w:val="24"/>
                <w:lang w:val="sr-Cyrl-CS"/>
              </w:rPr>
              <w:t>.</w:t>
            </w:r>
            <w:r w:rsidR="00B67843">
              <w:rPr>
                <w:noProof/>
                <w:sz w:val="24"/>
                <w:szCs w:val="24"/>
                <w:lang w:val="sr-Cyrl-CS"/>
              </w:rPr>
              <w:t>послове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, </w:t>
            </w:r>
            <w:r w:rsidR="00B67843">
              <w:rPr>
                <w:noProof/>
                <w:sz w:val="24"/>
                <w:szCs w:val="24"/>
                <w:lang w:val="sr-Cyrl-CS"/>
              </w:rPr>
              <w:t>расходи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за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солидарни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допринос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, </w:t>
            </w:r>
            <w:r w:rsidR="00B67843">
              <w:rPr>
                <w:noProof/>
                <w:sz w:val="24"/>
                <w:szCs w:val="24"/>
                <w:lang w:val="sr-Cyrl-CS"/>
              </w:rPr>
              <w:t>расходи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за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допринос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инвалида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, </w:t>
            </w:r>
            <w:r w:rsidR="00B67843">
              <w:rPr>
                <w:noProof/>
                <w:sz w:val="24"/>
                <w:szCs w:val="24"/>
                <w:lang w:val="sr-Cyrl-CS"/>
              </w:rPr>
              <w:t>и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остало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713AA5" w:rsidRPr="00B67843">
              <w:rPr>
                <w:noProof/>
                <w:sz w:val="24"/>
                <w:szCs w:val="24"/>
                <w:lang w:val="sr-Cyrl-CS"/>
              </w:rPr>
              <w:lastRenderedPageBreak/>
              <w:t>4.715,47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noProof/>
                <w:sz w:val="24"/>
                <w:szCs w:val="24"/>
                <w:lang w:val="sr-Cyrl-CS"/>
              </w:rPr>
              <w:t>за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 xml:space="preserve"> 2015.</w:t>
            </w:r>
            <w:r w:rsidR="00B67843">
              <w:rPr>
                <w:noProof/>
                <w:sz w:val="24"/>
                <w:szCs w:val="24"/>
                <w:lang w:val="sr-Cyrl-CS"/>
              </w:rPr>
              <w:t>г</w:t>
            </w:r>
            <w:r w:rsidR="00005998" w:rsidRPr="00B67843">
              <w:rPr>
                <w:noProof/>
                <w:sz w:val="24"/>
                <w:szCs w:val="24"/>
                <w:lang w:val="sr-Cyrl-CS"/>
              </w:rPr>
              <w:t>.</w:t>
            </w:r>
          </w:p>
          <w:p w:rsidR="00C16BB4" w:rsidRPr="00B67843" w:rsidRDefault="00B67843" w:rsidP="00713AA5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УКУПНО</w:t>
            </w:r>
            <w:r w:rsidR="00C16BB4" w:rsidRPr="00B67843">
              <w:rPr>
                <w:noProof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60" w:type="dxa"/>
          </w:tcPr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5B2AE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5B2AE3" w:rsidRPr="00B67843" w:rsidRDefault="005B2AE3" w:rsidP="005B2AE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5B2AE3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5B2AE3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5B2AE3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5B2AE3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005998" w:rsidRPr="00B67843" w:rsidRDefault="00005998" w:rsidP="005B2AE3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8B196E" w:rsidRPr="00B67843" w:rsidRDefault="008B196E" w:rsidP="005B2AE3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8B196E" w:rsidRPr="00B67843" w:rsidRDefault="008B196E" w:rsidP="005B2AE3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A65AB4" w:rsidP="005B2AE3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50.512,02</w:t>
            </w: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5B2AE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005998" w:rsidRPr="00B67843" w:rsidRDefault="00005998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8B196E" w:rsidRPr="00B67843" w:rsidRDefault="008B196E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8B196E" w:rsidRPr="00B67843" w:rsidRDefault="008B196E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A65A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58.267,00</w:t>
            </w:r>
          </w:p>
        </w:tc>
        <w:tc>
          <w:tcPr>
            <w:tcW w:w="1417" w:type="dxa"/>
          </w:tcPr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C16BB4" w:rsidRPr="00B67843" w:rsidRDefault="00C16BB4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DD463A" w:rsidRPr="00B67843" w:rsidRDefault="00DD463A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A65AB4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713AA5" w:rsidRPr="00B67843" w:rsidRDefault="00713AA5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005998" w:rsidRPr="00B67843" w:rsidRDefault="00005998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8B196E" w:rsidRPr="00B67843" w:rsidRDefault="008B196E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8B196E" w:rsidRPr="00B67843" w:rsidRDefault="008B196E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DD463A" w:rsidRPr="00B67843" w:rsidRDefault="00A65AB4" w:rsidP="00C16BB4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57.601,79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lastRenderedPageBreak/>
              <w:t>51</w:t>
            </w: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КАПИТАЛНИ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РАСХОДИ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803,00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1.380,06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511</w:t>
            </w: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Трошкови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набавку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сталних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средстава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803,00</w:t>
            </w:r>
          </w:p>
        </w:tc>
        <w:tc>
          <w:tcPr>
            <w:tcW w:w="1417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511300</w:t>
            </w: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Набавка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опреме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577,10</w:t>
            </w:r>
          </w:p>
        </w:tc>
      </w:tr>
      <w:tr w:rsidR="00AC2B0F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AC2B0F" w:rsidRPr="00B67843" w:rsidRDefault="00AC2B0F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AC2B0F" w:rsidRPr="00B67843" w:rsidRDefault="008F62B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514100</w:t>
            </w:r>
          </w:p>
        </w:tc>
        <w:tc>
          <w:tcPr>
            <w:tcW w:w="2835" w:type="dxa"/>
          </w:tcPr>
          <w:p w:rsidR="00AC2B0F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Издаци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набавку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сталне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имовине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8F62B3" w:rsidRPr="00B67843" w:rsidTr="00597863">
        <w:trPr>
          <w:gridAfter w:val="2"/>
          <w:wAfter w:w="7509" w:type="dxa"/>
        </w:trPr>
        <w:tc>
          <w:tcPr>
            <w:tcW w:w="567" w:type="dxa"/>
          </w:tcPr>
          <w:p w:rsidR="008F62B3" w:rsidRPr="00B67843" w:rsidRDefault="008F62B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8F62B3" w:rsidRPr="00B67843" w:rsidRDefault="008F62B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8F62B3" w:rsidRPr="00B67843" w:rsidRDefault="008F62B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517100</w:t>
            </w:r>
          </w:p>
        </w:tc>
        <w:tc>
          <w:tcPr>
            <w:tcW w:w="2835" w:type="dxa"/>
          </w:tcPr>
          <w:p w:rsidR="008F62B3" w:rsidRPr="00B67843" w:rsidRDefault="00B67843" w:rsidP="00AC2B0F">
            <w:pPr>
              <w:pStyle w:val="NoSpacing"/>
              <w:jc w:val="both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Издаци</w:t>
            </w:r>
            <w:r w:rsidR="008F62B3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по</w:t>
            </w:r>
            <w:r w:rsidR="008F62B3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основу</w:t>
            </w:r>
            <w:r w:rsidR="008F62B3" w:rsidRPr="00B67843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ПДВ</w:t>
            </w:r>
            <w:r w:rsidR="008F62B3" w:rsidRPr="00B67843">
              <w:rPr>
                <w:noProof/>
                <w:sz w:val="24"/>
                <w:szCs w:val="24"/>
                <w:lang w:val="sr-Cyrl-CS"/>
              </w:rPr>
              <w:t>-</w:t>
            </w:r>
            <w:r>
              <w:rPr>
                <w:noProof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1560" w:type="dxa"/>
          </w:tcPr>
          <w:p w:rsidR="008F62B3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8F62B3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803,00</w:t>
            </w:r>
          </w:p>
        </w:tc>
        <w:tc>
          <w:tcPr>
            <w:tcW w:w="1417" w:type="dxa"/>
          </w:tcPr>
          <w:p w:rsidR="008F62B3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802,96</w:t>
            </w:r>
          </w:p>
        </w:tc>
      </w:tr>
      <w:tr w:rsidR="00AC2B0F" w:rsidRPr="00B67843" w:rsidTr="00597863">
        <w:tc>
          <w:tcPr>
            <w:tcW w:w="5103" w:type="dxa"/>
            <w:gridSpan w:val="4"/>
          </w:tcPr>
          <w:p w:rsidR="00AC2B0F" w:rsidRPr="00B67843" w:rsidRDefault="00B67843" w:rsidP="00AC2B0F">
            <w:pPr>
              <w:pStyle w:val="NoSpacing"/>
              <w:jc w:val="center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УКУПНО</w:t>
            </w:r>
            <w:r w:rsidR="00AC2B0F" w:rsidRPr="00B67843">
              <w:rPr>
                <w:noProof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60" w:type="dxa"/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279.627,85</w:t>
            </w:r>
          </w:p>
        </w:tc>
        <w:tc>
          <w:tcPr>
            <w:tcW w:w="1559" w:type="dxa"/>
          </w:tcPr>
          <w:p w:rsidR="00AC2B0F" w:rsidRPr="00B67843" w:rsidRDefault="008F62B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280.150,00</w:t>
            </w:r>
          </w:p>
        </w:tc>
        <w:tc>
          <w:tcPr>
            <w:tcW w:w="1417" w:type="dxa"/>
          </w:tcPr>
          <w:p w:rsidR="00AC2B0F" w:rsidRPr="00B67843" w:rsidRDefault="00097CE3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278.763,18</w:t>
            </w:r>
          </w:p>
        </w:tc>
        <w:tc>
          <w:tcPr>
            <w:tcW w:w="5525" w:type="dxa"/>
            <w:tcBorders>
              <w:top w:val="nil"/>
              <w:bottom w:val="nil"/>
            </w:tcBorders>
          </w:tcPr>
          <w:p w:rsidR="00AC2B0F" w:rsidRPr="00B67843" w:rsidRDefault="00AC2B0F" w:rsidP="00AC2B0F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279.627,85</w:t>
            </w:r>
          </w:p>
        </w:tc>
        <w:tc>
          <w:tcPr>
            <w:tcW w:w="1984" w:type="dxa"/>
          </w:tcPr>
          <w:p w:rsidR="00AC2B0F" w:rsidRPr="00B67843" w:rsidRDefault="00AC2B0F" w:rsidP="00AC2B0F">
            <w:pPr>
              <w:pStyle w:val="NoSpacing"/>
              <w:jc w:val="right"/>
              <w:rPr>
                <w:noProof/>
                <w:sz w:val="24"/>
                <w:szCs w:val="24"/>
                <w:lang w:val="sr-Cyrl-CS"/>
              </w:rPr>
            </w:pPr>
            <w:r w:rsidRPr="00B67843">
              <w:rPr>
                <w:noProof/>
                <w:sz w:val="24"/>
                <w:szCs w:val="24"/>
                <w:lang w:val="sr-Cyrl-CS"/>
              </w:rPr>
              <w:t>389.578,53</w:t>
            </w:r>
          </w:p>
        </w:tc>
      </w:tr>
    </w:tbl>
    <w:p w:rsidR="005B2AE3" w:rsidRPr="00B67843" w:rsidRDefault="005B2AE3" w:rsidP="006838BE">
      <w:pPr>
        <w:rPr>
          <w:noProof/>
          <w:sz w:val="24"/>
          <w:szCs w:val="24"/>
          <w:lang w:val="sr-Cyrl-CS"/>
        </w:rPr>
      </w:pPr>
    </w:p>
    <w:p w:rsidR="008B52AB" w:rsidRPr="00B67843" w:rsidRDefault="00B67843" w:rsidP="006838BE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ФИНАНСИЈСКИ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ИЗВЈЕШТАЈ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ПОЈЕДИНАЧНО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УТВРЂЕНИМ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ЗАДАЦИМА</w:t>
      </w:r>
    </w:p>
    <w:p w:rsidR="00215CF9" w:rsidRPr="00B67843" w:rsidRDefault="00215CF9" w:rsidP="008B52AB">
      <w:pPr>
        <w:pStyle w:val="NoSpacing"/>
        <w:jc w:val="center"/>
        <w:rPr>
          <w:noProof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898"/>
        <w:gridCol w:w="3071"/>
      </w:tblGrid>
      <w:tr w:rsidR="00215CF9" w:rsidRPr="00B67843" w:rsidTr="00F93878">
        <w:tc>
          <w:tcPr>
            <w:tcW w:w="1242" w:type="dxa"/>
          </w:tcPr>
          <w:p w:rsidR="00215CF9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РЕДНИ</w:t>
            </w:r>
            <w:r w:rsidR="00215CF9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4898" w:type="dxa"/>
          </w:tcPr>
          <w:p w:rsidR="00215CF9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НАЗИВ</w:t>
            </w:r>
            <w:r w:rsidR="00215CF9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МАНИФЕСТАЦИЈЕ</w:t>
            </w:r>
          </w:p>
        </w:tc>
        <w:tc>
          <w:tcPr>
            <w:tcW w:w="3071" w:type="dxa"/>
          </w:tcPr>
          <w:p w:rsidR="00215CF9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ИЗНОС</w:t>
            </w:r>
            <w:r w:rsidR="00215CF9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УТРОШЕНИХ</w:t>
            </w:r>
            <w:r w:rsidR="00215CF9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СРЕДСТАВА</w:t>
            </w:r>
          </w:p>
        </w:tc>
      </w:tr>
      <w:tr w:rsidR="00215CF9" w:rsidRPr="00B67843" w:rsidTr="00F93878">
        <w:tc>
          <w:tcPr>
            <w:tcW w:w="1242" w:type="dxa"/>
          </w:tcPr>
          <w:p w:rsidR="00215CF9" w:rsidRPr="00B67843" w:rsidRDefault="00A33236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898" w:type="dxa"/>
          </w:tcPr>
          <w:p w:rsidR="00215CF9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Међународни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сајам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туризма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''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ИТТФА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Београд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''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Београду</w:t>
            </w:r>
          </w:p>
        </w:tc>
        <w:tc>
          <w:tcPr>
            <w:tcW w:w="3071" w:type="dxa"/>
          </w:tcPr>
          <w:p w:rsidR="00215CF9" w:rsidRPr="00B67843" w:rsidRDefault="00EA7CA6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1.042,58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A33236" w:rsidRPr="00B67843" w:rsidTr="00F93878">
        <w:tc>
          <w:tcPr>
            <w:tcW w:w="1242" w:type="dxa"/>
          </w:tcPr>
          <w:p w:rsidR="00A33236" w:rsidRPr="00B67843" w:rsidRDefault="00A33236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898" w:type="dxa"/>
          </w:tcPr>
          <w:p w:rsidR="00A33236" w:rsidRPr="00B67843" w:rsidRDefault="00A33236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''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Слава</w:t>
            </w: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гастро</w:t>
            </w: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2015'' 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Београду</w:t>
            </w:r>
          </w:p>
        </w:tc>
        <w:tc>
          <w:tcPr>
            <w:tcW w:w="3071" w:type="dxa"/>
          </w:tcPr>
          <w:p w:rsidR="00A33236" w:rsidRPr="00B67843" w:rsidRDefault="00A33236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160,20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215CF9" w:rsidRPr="00B67843" w:rsidTr="00F93878">
        <w:tc>
          <w:tcPr>
            <w:tcW w:w="1242" w:type="dxa"/>
          </w:tcPr>
          <w:p w:rsidR="00215CF9" w:rsidRPr="00B67843" w:rsidRDefault="00A33236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898" w:type="dxa"/>
          </w:tcPr>
          <w:p w:rsidR="00215CF9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Сајам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малог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бизниса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Тузли</w:t>
            </w:r>
          </w:p>
        </w:tc>
        <w:tc>
          <w:tcPr>
            <w:tcW w:w="3071" w:type="dxa"/>
          </w:tcPr>
          <w:p w:rsidR="00215CF9" w:rsidRPr="00B67843" w:rsidRDefault="00A33236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57,00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215CF9" w:rsidRPr="00B67843" w:rsidTr="00F93878">
        <w:tc>
          <w:tcPr>
            <w:tcW w:w="1242" w:type="dxa"/>
          </w:tcPr>
          <w:p w:rsidR="00215CF9" w:rsidRPr="00B67843" w:rsidRDefault="00A33236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898" w:type="dxa"/>
          </w:tcPr>
          <w:p w:rsidR="00215CF9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Први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Београдски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мнифест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фестивал</w:t>
            </w:r>
            <w:r w:rsidR="00A33236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манифестација</w:t>
            </w:r>
          </w:p>
        </w:tc>
        <w:tc>
          <w:tcPr>
            <w:tcW w:w="3071" w:type="dxa"/>
          </w:tcPr>
          <w:p w:rsidR="00215CF9" w:rsidRPr="00B67843" w:rsidRDefault="00A33236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185,50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004F19" w:rsidRPr="00B67843" w:rsidTr="00F93878">
        <w:tc>
          <w:tcPr>
            <w:tcW w:w="1242" w:type="dxa"/>
          </w:tcPr>
          <w:p w:rsidR="00004F19" w:rsidRPr="00B67843" w:rsidRDefault="00004F19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898" w:type="dxa"/>
          </w:tcPr>
          <w:p w:rsidR="00004F19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Куленијада</w:t>
            </w:r>
            <w:r w:rsidR="00004F19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004F19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Ердевику</w:t>
            </w:r>
          </w:p>
        </w:tc>
        <w:tc>
          <w:tcPr>
            <w:tcW w:w="3071" w:type="dxa"/>
          </w:tcPr>
          <w:p w:rsidR="00004F19" w:rsidRPr="00B67843" w:rsidRDefault="00004F19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67,50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215CF9" w:rsidRPr="00B67843" w:rsidTr="00F93878">
        <w:tc>
          <w:tcPr>
            <w:tcW w:w="1242" w:type="dxa"/>
          </w:tcPr>
          <w:p w:rsidR="00215CF9" w:rsidRPr="00B67843" w:rsidRDefault="00D25768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898" w:type="dxa"/>
          </w:tcPr>
          <w:p w:rsidR="00215CF9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Сајам</w:t>
            </w:r>
            <w:r w:rsidR="00D25768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привреде</w:t>
            </w:r>
            <w:r w:rsidR="00D25768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="00D25768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туризма</w:t>
            </w:r>
            <w:r w:rsidR="00D25768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D25768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Дервенти</w:t>
            </w:r>
          </w:p>
        </w:tc>
        <w:tc>
          <w:tcPr>
            <w:tcW w:w="3071" w:type="dxa"/>
          </w:tcPr>
          <w:p w:rsidR="00215CF9" w:rsidRPr="00B67843" w:rsidRDefault="00D25768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144,80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215CF9" w:rsidRPr="00B67843" w:rsidTr="00F93878">
        <w:tc>
          <w:tcPr>
            <w:tcW w:w="1242" w:type="dxa"/>
          </w:tcPr>
          <w:p w:rsidR="00215CF9" w:rsidRPr="00B67843" w:rsidRDefault="00D25768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898" w:type="dxa"/>
          </w:tcPr>
          <w:p w:rsidR="00215CF9" w:rsidRPr="00B67843" w:rsidRDefault="00B67843" w:rsidP="00D2576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Сајам</w:t>
            </w:r>
            <w:r w:rsidR="00D25768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привреде</w:t>
            </w:r>
            <w:r w:rsidR="00D25768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D25768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Модричи</w:t>
            </w:r>
          </w:p>
        </w:tc>
        <w:tc>
          <w:tcPr>
            <w:tcW w:w="3071" w:type="dxa"/>
          </w:tcPr>
          <w:p w:rsidR="00215CF9" w:rsidRPr="00B67843" w:rsidRDefault="00D25768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120,00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F93878" w:rsidRPr="00B67843" w:rsidTr="00F93878">
        <w:tc>
          <w:tcPr>
            <w:tcW w:w="1242" w:type="dxa"/>
          </w:tcPr>
          <w:p w:rsidR="00F93878" w:rsidRPr="00B67843" w:rsidRDefault="00D25768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898" w:type="dxa"/>
          </w:tcPr>
          <w:p w:rsidR="00F93878" w:rsidRPr="00B67843" w:rsidRDefault="00D25768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''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Дрински</w:t>
            </w: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котлић</w:t>
            </w:r>
            <w:r w:rsidR="00FF4F00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'' 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FF4F00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Вишеграду</w:t>
            </w:r>
          </w:p>
        </w:tc>
        <w:tc>
          <w:tcPr>
            <w:tcW w:w="3071" w:type="dxa"/>
          </w:tcPr>
          <w:p w:rsidR="00F93878" w:rsidRPr="00B67843" w:rsidRDefault="00FF4F00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266,00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F93878" w:rsidRPr="00B67843" w:rsidTr="00F93878">
        <w:tc>
          <w:tcPr>
            <w:tcW w:w="1242" w:type="dxa"/>
          </w:tcPr>
          <w:p w:rsidR="00F93878" w:rsidRPr="00B67843" w:rsidRDefault="00FF4F00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898" w:type="dxa"/>
          </w:tcPr>
          <w:p w:rsidR="00F93878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Сајам</w:t>
            </w:r>
            <w:r w:rsidR="00FF4F00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''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Лакташки</w:t>
            </w:r>
            <w:r w:rsidR="00FF4F00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етно</w:t>
            </w:r>
            <w:r w:rsidR="00FF4F00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2015''</w:t>
            </w:r>
          </w:p>
        </w:tc>
        <w:tc>
          <w:tcPr>
            <w:tcW w:w="3071" w:type="dxa"/>
          </w:tcPr>
          <w:p w:rsidR="00F93878" w:rsidRPr="00B67843" w:rsidRDefault="00FF4F00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247,20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F93878" w:rsidRPr="00B67843" w:rsidTr="00F93878">
        <w:tc>
          <w:tcPr>
            <w:tcW w:w="1242" w:type="dxa"/>
          </w:tcPr>
          <w:p w:rsidR="00F93878" w:rsidRPr="00B67843" w:rsidRDefault="00FF4F00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898" w:type="dxa"/>
          </w:tcPr>
          <w:p w:rsidR="00F93878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Дани</w:t>
            </w:r>
            <w:r w:rsidR="00FF4F00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Српске</w:t>
            </w:r>
            <w:r w:rsidR="00FF4F00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FF4F00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Србији</w:t>
            </w:r>
          </w:p>
        </w:tc>
        <w:tc>
          <w:tcPr>
            <w:tcW w:w="3071" w:type="dxa"/>
          </w:tcPr>
          <w:p w:rsidR="00F93878" w:rsidRPr="00B67843" w:rsidRDefault="00F9771E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353,15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F93878" w:rsidRPr="00B67843" w:rsidTr="00F93878">
        <w:tc>
          <w:tcPr>
            <w:tcW w:w="1242" w:type="dxa"/>
          </w:tcPr>
          <w:p w:rsidR="00F93878" w:rsidRPr="00B67843" w:rsidRDefault="00F9771E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4898" w:type="dxa"/>
          </w:tcPr>
          <w:p w:rsidR="00F93878" w:rsidRPr="00B67843" w:rsidRDefault="00F9771E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''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Казанијада</w:t>
            </w: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'' 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Прњавор</w:t>
            </w:r>
          </w:p>
        </w:tc>
        <w:tc>
          <w:tcPr>
            <w:tcW w:w="3071" w:type="dxa"/>
          </w:tcPr>
          <w:p w:rsidR="00F93878" w:rsidRPr="00B67843" w:rsidRDefault="00F9771E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152,60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F93878" w:rsidRPr="00B67843" w:rsidTr="00F93878">
        <w:tc>
          <w:tcPr>
            <w:tcW w:w="1242" w:type="dxa"/>
          </w:tcPr>
          <w:p w:rsidR="00F93878" w:rsidRPr="00B67843" w:rsidRDefault="00F9771E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898" w:type="dxa"/>
          </w:tcPr>
          <w:p w:rsidR="00F93878" w:rsidRPr="00B67843" w:rsidRDefault="00F9771E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14.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Међународни</w:t>
            </w: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сајам</w:t>
            </w: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привреде</w:t>
            </w: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/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господарства</w:t>
            </w: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Брчком</w:t>
            </w:r>
          </w:p>
        </w:tc>
        <w:tc>
          <w:tcPr>
            <w:tcW w:w="3071" w:type="dxa"/>
          </w:tcPr>
          <w:p w:rsidR="00F93878" w:rsidRPr="00B67843" w:rsidRDefault="00F9771E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34,20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28583E" w:rsidRPr="00B67843" w:rsidTr="00F93878">
        <w:tc>
          <w:tcPr>
            <w:tcW w:w="1242" w:type="dxa"/>
          </w:tcPr>
          <w:p w:rsidR="0028583E" w:rsidRPr="00B67843" w:rsidRDefault="00F9771E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898" w:type="dxa"/>
          </w:tcPr>
          <w:p w:rsidR="0028583E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Манифестација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рукотворина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домаће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хране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Митровици</w:t>
            </w:r>
          </w:p>
        </w:tc>
        <w:tc>
          <w:tcPr>
            <w:tcW w:w="3071" w:type="dxa"/>
          </w:tcPr>
          <w:p w:rsidR="0028583E" w:rsidRPr="00B67843" w:rsidRDefault="00F9771E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39,00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F9771E" w:rsidRPr="00B67843" w:rsidTr="00F93878">
        <w:tc>
          <w:tcPr>
            <w:tcW w:w="1242" w:type="dxa"/>
          </w:tcPr>
          <w:p w:rsidR="00F9771E" w:rsidRPr="00B67843" w:rsidRDefault="00F9771E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898" w:type="dxa"/>
          </w:tcPr>
          <w:p w:rsidR="00F9771E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Сајам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етно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хране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пића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Београду</w:t>
            </w:r>
          </w:p>
        </w:tc>
        <w:tc>
          <w:tcPr>
            <w:tcW w:w="3071" w:type="dxa"/>
          </w:tcPr>
          <w:p w:rsidR="00F9771E" w:rsidRPr="00B67843" w:rsidRDefault="00F9771E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158,30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F9771E" w:rsidRPr="00B67843" w:rsidTr="00F93878">
        <w:tc>
          <w:tcPr>
            <w:tcW w:w="1242" w:type="dxa"/>
          </w:tcPr>
          <w:p w:rsidR="00F9771E" w:rsidRPr="00B67843" w:rsidRDefault="00F9771E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898" w:type="dxa"/>
          </w:tcPr>
          <w:p w:rsidR="00F9771E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Седми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Међународни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сајам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туризма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сеоског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туризма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Крагујевцу</w:t>
            </w:r>
          </w:p>
        </w:tc>
        <w:tc>
          <w:tcPr>
            <w:tcW w:w="3071" w:type="dxa"/>
          </w:tcPr>
          <w:p w:rsidR="00F9771E" w:rsidRPr="00B67843" w:rsidRDefault="00F9771E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600,15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F9771E" w:rsidRPr="00B67843" w:rsidTr="00F93878">
        <w:tc>
          <w:tcPr>
            <w:tcW w:w="1242" w:type="dxa"/>
          </w:tcPr>
          <w:p w:rsidR="00F9771E" w:rsidRPr="00B67843" w:rsidRDefault="00F9771E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898" w:type="dxa"/>
          </w:tcPr>
          <w:p w:rsidR="00F9771E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Изложба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рукотворина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Купинову</w:t>
            </w:r>
          </w:p>
        </w:tc>
        <w:tc>
          <w:tcPr>
            <w:tcW w:w="3071" w:type="dxa"/>
          </w:tcPr>
          <w:p w:rsidR="00F9771E" w:rsidRPr="00B67843" w:rsidRDefault="00F9771E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139,30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  <w:tr w:rsidR="00F9771E" w:rsidRPr="00B67843" w:rsidTr="00F93878">
        <w:tc>
          <w:tcPr>
            <w:tcW w:w="1242" w:type="dxa"/>
          </w:tcPr>
          <w:p w:rsidR="00F9771E" w:rsidRPr="00B67843" w:rsidRDefault="00F9771E" w:rsidP="00F93878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898" w:type="dxa"/>
          </w:tcPr>
          <w:p w:rsidR="00F9771E" w:rsidRPr="00B67843" w:rsidRDefault="00B67843" w:rsidP="008B52A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Отварање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зимске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туристичке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сезоне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</w:t>
            </w:r>
            <w:r w:rsidR="00F9771E"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Јахорини</w:t>
            </w:r>
          </w:p>
        </w:tc>
        <w:tc>
          <w:tcPr>
            <w:tcW w:w="3071" w:type="dxa"/>
          </w:tcPr>
          <w:p w:rsidR="00F9771E" w:rsidRPr="00B67843" w:rsidRDefault="00F9771E" w:rsidP="00215CF9">
            <w:pPr>
              <w:pStyle w:val="NoSpacing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184,30</w:t>
            </w:r>
            <w:r w:rsidR="00B6784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КМ</w:t>
            </w:r>
          </w:p>
        </w:tc>
      </w:tr>
    </w:tbl>
    <w:p w:rsidR="00FC0FEB" w:rsidRPr="00B67843" w:rsidRDefault="00FC0FEB" w:rsidP="008B52AB">
      <w:pPr>
        <w:pStyle w:val="NoSpacing"/>
        <w:rPr>
          <w:noProof/>
          <w:sz w:val="24"/>
          <w:szCs w:val="24"/>
          <w:lang w:val="sr-Cyrl-CS"/>
        </w:rPr>
      </w:pPr>
    </w:p>
    <w:p w:rsidR="005B2AE3" w:rsidRPr="00B67843" w:rsidRDefault="005B2AE3" w:rsidP="008B52AB">
      <w:pPr>
        <w:pStyle w:val="NoSpacing"/>
        <w:rPr>
          <w:noProof/>
          <w:sz w:val="24"/>
          <w:szCs w:val="24"/>
          <w:lang w:val="sr-Cyrl-CS"/>
        </w:rPr>
      </w:pPr>
    </w:p>
    <w:p w:rsidR="005B2AE3" w:rsidRPr="00B67843" w:rsidRDefault="00B67843" w:rsidP="007E51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Финансијаки</w:t>
      </w:r>
      <w:r w:rsidR="00F9387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извјештај</w:t>
      </w:r>
      <w:r w:rsidR="00F9387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9387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Сајам</w:t>
      </w:r>
      <w:r w:rsidR="00F9387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туризма</w:t>
      </w:r>
      <w:r w:rsidR="00F9387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9387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гастрокултуре</w:t>
      </w:r>
      <w:r w:rsidR="008F62B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Бијељинатурист</w:t>
      </w:r>
      <w:r w:rsidR="008F62B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</w:t>
      </w:r>
      <w:r w:rsidR="00F9387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''</w:t>
      </w:r>
      <w:r w:rsidR="007E514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F93878" w:rsidRPr="00B67843" w:rsidRDefault="00F93878" w:rsidP="00F9387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260"/>
        <w:gridCol w:w="1560"/>
      </w:tblGrid>
      <w:tr w:rsidR="00F93878" w:rsidRPr="00B67843" w:rsidTr="00F93878">
        <w:tc>
          <w:tcPr>
            <w:tcW w:w="1384" w:type="dxa"/>
          </w:tcPr>
          <w:p w:rsidR="00F93878" w:rsidRPr="00B67843" w:rsidRDefault="00B67843" w:rsidP="0090740F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РЕДНИ</w:t>
            </w:r>
            <w:r w:rsidR="00F93878"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3260" w:type="dxa"/>
          </w:tcPr>
          <w:p w:rsidR="00F93878" w:rsidRPr="00B67843" w:rsidRDefault="00B67843" w:rsidP="0090740F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560" w:type="dxa"/>
          </w:tcPr>
          <w:p w:rsidR="00F93878" w:rsidRPr="00B67843" w:rsidRDefault="00B67843" w:rsidP="0090740F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ИЗНОС</w:t>
            </w:r>
          </w:p>
          <w:p w:rsidR="00F93878" w:rsidRPr="00B67843" w:rsidRDefault="00F93878" w:rsidP="0090740F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F93878" w:rsidRPr="00B67843" w:rsidTr="00F93878">
        <w:tc>
          <w:tcPr>
            <w:tcW w:w="1384" w:type="dxa"/>
          </w:tcPr>
          <w:p w:rsidR="00F93878" w:rsidRPr="00B67843" w:rsidRDefault="007E514D" w:rsidP="007E514D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260" w:type="dxa"/>
          </w:tcPr>
          <w:p w:rsidR="00F93878" w:rsidRPr="00B67843" w:rsidRDefault="00B67843" w:rsidP="0090740F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7E514D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смјештаја</w:t>
            </w:r>
            <w:r w:rsidR="00F93878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храна</w:t>
            </w:r>
            <w:r w:rsidR="00F93878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="00F93878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пиће</w:t>
            </w:r>
            <w:r w:rsidR="00F93878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за</w:t>
            </w:r>
            <w:r w:rsidR="00F93878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учеснике</w:t>
            </w:r>
            <w:r w:rsidR="00F93878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="00F93878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госте</w:t>
            </w:r>
            <w:r w:rsidR="00F93878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сајма</w:t>
            </w:r>
            <w:r w:rsidR="00F93878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туризма</w:t>
            </w:r>
          </w:p>
        </w:tc>
        <w:tc>
          <w:tcPr>
            <w:tcW w:w="1560" w:type="dxa"/>
          </w:tcPr>
          <w:p w:rsidR="00F93878" w:rsidRPr="00B67843" w:rsidRDefault="001B672B" w:rsidP="0090740F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12.077,40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  <w:tr w:rsidR="00F93878" w:rsidRPr="00B67843" w:rsidTr="00F93878">
        <w:tc>
          <w:tcPr>
            <w:tcW w:w="1384" w:type="dxa"/>
          </w:tcPr>
          <w:p w:rsidR="00F93878" w:rsidRPr="00B67843" w:rsidRDefault="007E514D" w:rsidP="007E514D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lastRenderedPageBreak/>
              <w:t>2.</w:t>
            </w:r>
          </w:p>
        </w:tc>
        <w:tc>
          <w:tcPr>
            <w:tcW w:w="3260" w:type="dxa"/>
          </w:tcPr>
          <w:p w:rsidR="00F93878" w:rsidRPr="00B67843" w:rsidRDefault="00B67843" w:rsidP="0090740F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7E514D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превоза</w:t>
            </w:r>
            <w:r w:rsidR="007E514D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учесника</w:t>
            </w:r>
            <w:r w:rsidR="007E514D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сајма</w:t>
            </w:r>
          </w:p>
        </w:tc>
        <w:tc>
          <w:tcPr>
            <w:tcW w:w="1560" w:type="dxa"/>
          </w:tcPr>
          <w:p w:rsidR="00F93878" w:rsidRPr="00B67843" w:rsidRDefault="001B672B" w:rsidP="0090740F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210,00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  <w:tr w:rsidR="007E514D" w:rsidRPr="00B67843" w:rsidTr="00F93878">
        <w:tc>
          <w:tcPr>
            <w:tcW w:w="1384" w:type="dxa"/>
          </w:tcPr>
          <w:p w:rsidR="007E514D" w:rsidRPr="00B67843" w:rsidRDefault="007E514D" w:rsidP="007E514D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260" w:type="dxa"/>
          </w:tcPr>
          <w:p w:rsidR="007E514D" w:rsidRPr="00B67843" w:rsidRDefault="00B67843" w:rsidP="0090740F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7E514D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рекламе</w:t>
            </w:r>
            <w:r w:rsidR="007E514D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сајма</w:t>
            </w:r>
            <w:r w:rsidR="007E514D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туризма</w:t>
            </w:r>
          </w:p>
        </w:tc>
        <w:tc>
          <w:tcPr>
            <w:tcW w:w="1560" w:type="dxa"/>
          </w:tcPr>
          <w:p w:rsidR="007E514D" w:rsidRPr="00B67843" w:rsidRDefault="001B672B" w:rsidP="0090740F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769,25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  <w:tr w:rsidR="007E514D" w:rsidRPr="00B67843" w:rsidTr="00F93878">
        <w:tc>
          <w:tcPr>
            <w:tcW w:w="1384" w:type="dxa"/>
          </w:tcPr>
          <w:p w:rsidR="007E514D" w:rsidRPr="00B67843" w:rsidRDefault="007E514D" w:rsidP="007E514D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260" w:type="dxa"/>
          </w:tcPr>
          <w:p w:rsidR="007E514D" w:rsidRPr="00B67843" w:rsidRDefault="00B67843" w:rsidP="001B672B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Остали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7E514D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7E514D" w:rsidRPr="00B67843" w:rsidRDefault="001B672B" w:rsidP="0090740F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849,88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  <w:tr w:rsidR="007E514D" w:rsidRPr="00B67843" w:rsidTr="00F93878">
        <w:tc>
          <w:tcPr>
            <w:tcW w:w="1384" w:type="dxa"/>
          </w:tcPr>
          <w:p w:rsidR="007E514D" w:rsidRPr="00B67843" w:rsidRDefault="007E514D" w:rsidP="007E514D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260" w:type="dxa"/>
          </w:tcPr>
          <w:p w:rsidR="007E514D" w:rsidRPr="00B67843" w:rsidRDefault="00B67843" w:rsidP="0090740F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Путни</w:t>
            </w:r>
            <w:r w:rsidR="007E514D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7E514D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сајма</w:t>
            </w:r>
          </w:p>
        </w:tc>
        <w:tc>
          <w:tcPr>
            <w:tcW w:w="1560" w:type="dxa"/>
          </w:tcPr>
          <w:p w:rsidR="0028583E" w:rsidRPr="00B67843" w:rsidRDefault="001B672B" w:rsidP="0090740F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288,04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  <w:tr w:rsidR="007E514D" w:rsidRPr="00B67843" w:rsidTr="00F93878">
        <w:tc>
          <w:tcPr>
            <w:tcW w:w="1384" w:type="dxa"/>
          </w:tcPr>
          <w:p w:rsidR="007E514D" w:rsidRPr="00B67843" w:rsidRDefault="007E514D" w:rsidP="0090740F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</w:tcPr>
          <w:p w:rsidR="007E514D" w:rsidRPr="00B67843" w:rsidRDefault="00B67843" w:rsidP="0090740F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УКУПНО</w:t>
            </w:r>
          </w:p>
          <w:p w:rsidR="0028583E" w:rsidRPr="00B67843" w:rsidRDefault="0028583E" w:rsidP="0090740F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7E514D" w:rsidRPr="00B67843" w:rsidRDefault="001B672B" w:rsidP="0090740F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14.194,46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</w:tbl>
    <w:p w:rsidR="001B672B" w:rsidRPr="00B67843" w:rsidRDefault="001B672B" w:rsidP="00F9387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F93878" w:rsidRPr="00B67843" w:rsidRDefault="00B67843" w:rsidP="0057543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Финансијаки</w:t>
      </w:r>
      <w:r w:rsidR="001B672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извјештај</w:t>
      </w:r>
      <w:r w:rsidR="001B672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1B672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Умјетничку</w:t>
      </w:r>
      <w:r w:rsidR="001B672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колонију</w:t>
      </w:r>
      <w:r w:rsidR="001B672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1B672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1B672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524969" w:rsidRPr="00B67843" w:rsidRDefault="00524969" w:rsidP="00575439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260"/>
        <w:gridCol w:w="1560"/>
      </w:tblGrid>
      <w:tr w:rsidR="001B672B" w:rsidRPr="00B67843" w:rsidTr="00180D66">
        <w:tc>
          <w:tcPr>
            <w:tcW w:w="1384" w:type="dxa"/>
          </w:tcPr>
          <w:p w:rsidR="001B672B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РЕДНИ</w:t>
            </w:r>
            <w:r w:rsidR="001B672B"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3260" w:type="dxa"/>
          </w:tcPr>
          <w:p w:rsidR="001B672B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560" w:type="dxa"/>
          </w:tcPr>
          <w:p w:rsidR="001B672B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ИЗНОС</w:t>
            </w:r>
          </w:p>
          <w:p w:rsidR="001B672B" w:rsidRPr="00B67843" w:rsidRDefault="001B672B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1B672B" w:rsidRPr="00B67843" w:rsidTr="00180D66">
        <w:tc>
          <w:tcPr>
            <w:tcW w:w="1384" w:type="dxa"/>
          </w:tcPr>
          <w:p w:rsidR="001B672B" w:rsidRPr="00B67843" w:rsidRDefault="001B672B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260" w:type="dxa"/>
          </w:tcPr>
          <w:p w:rsidR="001B672B" w:rsidRPr="00B67843" w:rsidRDefault="00B67843" w:rsidP="001B672B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смјештаја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храна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пиће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за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учеснике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колиније</w:t>
            </w:r>
          </w:p>
        </w:tc>
        <w:tc>
          <w:tcPr>
            <w:tcW w:w="1560" w:type="dxa"/>
          </w:tcPr>
          <w:p w:rsidR="001B672B" w:rsidRPr="00B67843" w:rsidRDefault="001B672B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6.113,00</w:t>
            </w:r>
          </w:p>
        </w:tc>
      </w:tr>
      <w:tr w:rsidR="001B672B" w:rsidRPr="00B67843" w:rsidTr="00180D66">
        <w:tc>
          <w:tcPr>
            <w:tcW w:w="1384" w:type="dxa"/>
          </w:tcPr>
          <w:p w:rsidR="001B672B" w:rsidRPr="00B67843" w:rsidRDefault="001B672B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260" w:type="dxa"/>
          </w:tcPr>
          <w:p w:rsidR="001B672B" w:rsidRPr="00B67843" w:rsidRDefault="00B67843" w:rsidP="001B672B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платна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сликарског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материјала</w:t>
            </w:r>
          </w:p>
        </w:tc>
        <w:tc>
          <w:tcPr>
            <w:tcW w:w="1560" w:type="dxa"/>
          </w:tcPr>
          <w:p w:rsidR="001B672B" w:rsidRPr="00B67843" w:rsidRDefault="001B672B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2.688,08</w:t>
            </w:r>
          </w:p>
        </w:tc>
      </w:tr>
      <w:tr w:rsidR="001B672B" w:rsidRPr="00B67843" w:rsidTr="00180D66">
        <w:tc>
          <w:tcPr>
            <w:tcW w:w="1384" w:type="dxa"/>
          </w:tcPr>
          <w:p w:rsidR="001B672B" w:rsidRPr="00B67843" w:rsidRDefault="001B672B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260" w:type="dxa"/>
          </w:tcPr>
          <w:p w:rsidR="001B672B" w:rsidRPr="00B67843" w:rsidRDefault="00B67843" w:rsidP="001B672B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превоза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учесника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колоније</w:t>
            </w:r>
          </w:p>
        </w:tc>
        <w:tc>
          <w:tcPr>
            <w:tcW w:w="1560" w:type="dxa"/>
          </w:tcPr>
          <w:p w:rsidR="001B672B" w:rsidRPr="00B67843" w:rsidRDefault="001B672B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1.343,37</w:t>
            </w:r>
          </w:p>
        </w:tc>
      </w:tr>
      <w:tr w:rsidR="001B672B" w:rsidRPr="00B67843" w:rsidTr="00180D66">
        <w:tc>
          <w:tcPr>
            <w:tcW w:w="1384" w:type="dxa"/>
          </w:tcPr>
          <w:p w:rsidR="001B672B" w:rsidRPr="00B67843" w:rsidRDefault="001B672B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260" w:type="dxa"/>
          </w:tcPr>
          <w:p w:rsidR="001B672B" w:rsidRPr="00B67843" w:rsidRDefault="00B67843" w:rsidP="001B672B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рекламе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пропагадног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материјала</w:t>
            </w:r>
          </w:p>
        </w:tc>
        <w:tc>
          <w:tcPr>
            <w:tcW w:w="1560" w:type="dxa"/>
          </w:tcPr>
          <w:p w:rsidR="001B672B" w:rsidRPr="00B67843" w:rsidRDefault="00AF5837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936,60</w:t>
            </w:r>
          </w:p>
        </w:tc>
      </w:tr>
      <w:tr w:rsidR="001B672B" w:rsidRPr="00B67843" w:rsidTr="00180D66">
        <w:tc>
          <w:tcPr>
            <w:tcW w:w="1384" w:type="dxa"/>
          </w:tcPr>
          <w:p w:rsidR="001B672B" w:rsidRPr="00B67843" w:rsidRDefault="001B672B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260" w:type="dxa"/>
          </w:tcPr>
          <w:p w:rsidR="001B672B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Остали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1B672B" w:rsidRPr="00B67843" w:rsidRDefault="00AF5837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428,63</w:t>
            </w:r>
          </w:p>
        </w:tc>
      </w:tr>
      <w:tr w:rsidR="001B672B" w:rsidRPr="00B67843" w:rsidTr="00180D66">
        <w:tc>
          <w:tcPr>
            <w:tcW w:w="1384" w:type="dxa"/>
          </w:tcPr>
          <w:p w:rsidR="001B672B" w:rsidRPr="00B67843" w:rsidRDefault="001B672B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260" w:type="dxa"/>
          </w:tcPr>
          <w:p w:rsidR="001B672B" w:rsidRPr="00B67843" w:rsidRDefault="00B67843" w:rsidP="001B672B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Путни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1B672B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1B672B" w:rsidRPr="00B67843" w:rsidRDefault="00AF5837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329,60</w:t>
            </w:r>
          </w:p>
        </w:tc>
      </w:tr>
      <w:tr w:rsidR="001B672B" w:rsidRPr="00B67843" w:rsidTr="00180D66">
        <w:tc>
          <w:tcPr>
            <w:tcW w:w="1384" w:type="dxa"/>
          </w:tcPr>
          <w:p w:rsidR="001B672B" w:rsidRPr="00B67843" w:rsidRDefault="001B672B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</w:tcPr>
          <w:p w:rsidR="001B672B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УКУПНО</w:t>
            </w:r>
          </w:p>
          <w:p w:rsidR="001B672B" w:rsidRPr="00B67843" w:rsidRDefault="001B672B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1B672B" w:rsidRPr="00B67843" w:rsidRDefault="00AF5837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11.839,28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</w:tbl>
    <w:p w:rsidR="00AF5837" w:rsidRPr="00B67843" w:rsidRDefault="00AF5837" w:rsidP="003236D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837" w:rsidRPr="00B67843" w:rsidRDefault="00B67843" w:rsidP="008B52AB">
      <w:pPr>
        <w:pStyle w:val="NoSpacing"/>
        <w:ind w:firstLine="465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Финансијаки</w:t>
      </w:r>
      <w:r w:rsidR="00AF583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извјештај</w:t>
      </w:r>
      <w:r w:rsidR="00AF583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AF583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Савску</w:t>
      </w:r>
      <w:r w:rsidR="00AF583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регату</w:t>
      </w:r>
      <w:r w:rsidR="00AF583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F583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AF5837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AF5837" w:rsidRPr="00B67843" w:rsidRDefault="00AF5837" w:rsidP="003236D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260"/>
        <w:gridCol w:w="1560"/>
      </w:tblGrid>
      <w:tr w:rsidR="00AF5837" w:rsidRPr="00B67843" w:rsidTr="00180D66">
        <w:tc>
          <w:tcPr>
            <w:tcW w:w="1384" w:type="dxa"/>
          </w:tcPr>
          <w:p w:rsidR="00AF5837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РЕДНИ</w:t>
            </w:r>
            <w:r w:rsidR="00AF5837"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3260" w:type="dxa"/>
          </w:tcPr>
          <w:p w:rsidR="00AF5837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560" w:type="dxa"/>
          </w:tcPr>
          <w:p w:rsidR="00AF5837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ИЗНОС</w:t>
            </w:r>
          </w:p>
          <w:p w:rsidR="00AF5837" w:rsidRPr="00B67843" w:rsidRDefault="00AF5837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AF5837" w:rsidRPr="00B67843" w:rsidTr="00180D66">
        <w:tc>
          <w:tcPr>
            <w:tcW w:w="1384" w:type="dxa"/>
          </w:tcPr>
          <w:p w:rsidR="00AF5837" w:rsidRPr="00B67843" w:rsidRDefault="00AF5837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260" w:type="dxa"/>
          </w:tcPr>
          <w:p w:rsidR="00AF5837" w:rsidRPr="00B67843" w:rsidRDefault="00B67843" w:rsidP="00AF5837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хране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пиће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за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учеснике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</w:t>
            </w:r>
            <w:r w:rsidR="00524969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регате</w:t>
            </w:r>
          </w:p>
        </w:tc>
        <w:tc>
          <w:tcPr>
            <w:tcW w:w="1560" w:type="dxa"/>
          </w:tcPr>
          <w:p w:rsidR="00AF5837" w:rsidRPr="00B67843" w:rsidRDefault="00AF5837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lang w:val="sr-Cyrl-CS"/>
              </w:rPr>
              <w:t>244,95</w:t>
            </w:r>
            <w:r w:rsidR="00B67843">
              <w:rPr>
                <w:rFonts w:ascii="Times New Roman" w:hAnsi="Times New Roman"/>
                <w:noProof/>
                <w:lang w:val="sr-Cyrl-CS"/>
              </w:rPr>
              <w:t>КМ</w:t>
            </w:r>
          </w:p>
        </w:tc>
      </w:tr>
      <w:tr w:rsidR="00AF5837" w:rsidRPr="00B67843" w:rsidTr="00180D66">
        <w:tc>
          <w:tcPr>
            <w:tcW w:w="1384" w:type="dxa"/>
          </w:tcPr>
          <w:p w:rsidR="00AF5837" w:rsidRPr="00B67843" w:rsidRDefault="00AF5837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260" w:type="dxa"/>
          </w:tcPr>
          <w:p w:rsidR="00AF5837" w:rsidRPr="00B67843" w:rsidRDefault="00B67843" w:rsidP="00AF5837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пропагадног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материјала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мајице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акредитације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остало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560" w:type="dxa"/>
          </w:tcPr>
          <w:p w:rsidR="00AF5837" w:rsidRPr="00B67843" w:rsidRDefault="00991B75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3.896,10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  <w:tr w:rsidR="00AF5837" w:rsidRPr="00B67843" w:rsidTr="00180D66">
        <w:tc>
          <w:tcPr>
            <w:tcW w:w="1384" w:type="dxa"/>
          </w:tcPr>
          <w:p w:rsidR="00AF5837" w:rsidRPr="00B67843" w:rsidRDefault="00AF5837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260" w:type="dxa"/>
          </w:tcPr>
          <w:p w:rsidR="00AF5837" w:rsidRPr="00B67843" w:rsidRDefault="00B67843" w:rsidP="00991B75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осигурања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учесника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</w:t>
            </w:r>
            <w:r w:rsidR="00524969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регате</w:t>
            </w:r>
          </w:p>
        </w:tc>
        <w:tc>
          <w:tcPr>
            <w:tcW w:w="1560" w:type="dxa"/>
          </w:tcPr>
          <w:p w:rsidR="00AF5837" w:rsidRPr="00B67843" w:rsidRDefault="00991B75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240,00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  <w:tr w:rsidR="00AF5837" w:rsidRPr="00B67843" w:rsidTr="00180D66">
        <w:tc>
          <w:tcPr>
            <w:tcW w:w="1384" w:type="dxa"/>
          </w:tcPr>
          <w:p w:rsidR="00AF5837" w:rsidRPr="00B67843" w:rsidRDefault="00991B75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4</w:t>
            </w:r>
            <w:r w:rsidR="00AF5837"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260" w:type="dxa"/>
          </w:tcPr>
          <w:p w:rsidR="00AF5837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Путни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AF5837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AF5837" w:rsidRPr="00B67843" w:rsidRDefault="00991B75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lang w:val="sr-Cyrl-CS"/>
              </w:rPr>
              <w:t>204,70</w:t>
            </w:r>
            <w:r w:rsidR="00B67843">
              <w:rPr>
                <w:rFonts w:ascii="Times New Roman" w:hAnsi="Times New Roman"/>
                <w:noProof/>
                <w:lang w:val="sr-Cyrl-CS"/>
              </w:rPr>
              <w:t>КМ</w:t>
            </w:r>
          </w:p>
        </w:tc>
      </w:tr>
      <w:tr w:rsidR="00AF5837" w:rsidRPr="00B67843" w:rsidTr="00180D66">
        <w:tc>
          <w:tcPr>
            <w:tcW w:w="1384" w:type="dxa"/>
          </w:tcPr>
          <w:p w:rsidR="00AF5837" w:rsidRPr="00B67843" w:rsidRDefault="00AF5837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</w:tcPr>
          <w:p w:rsidR="00AF5837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УКУПНО</w:t>
            </w:r>
          </w:p>
          <w:p w:rsidR="00AF5837" w:rsidRPr="00B67843" w:rsidRDefault="00AF5837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F5837" w:rsidRPr="00B67843" w:rsidRDefault="00991B75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4.585,75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</w:tbl>
    <w:p w:rsidR="00991B75" w:rsidRPr="00B67843" w:rsidRDefault="00991B75" w:rsidP="005B2AE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991B75" w:rsidRPr="00B67843" w:rsidRDefault="00B67843" w:rsidP="008B52AB">
      <w:pPr>
        <w:pStyle w:val="NoSpacing"/>
        <w:ind w:firstLine="465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Финансијски</w:t>
      </w:r>
      <w:r w:rsidR="00991B7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извјештај</w:t>
      </w:r>
      <w:r w:rsidR="00991B7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991B7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Златни</w:t>
      </w:r>
      <w:r w:rsidR="00991B7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котлић</w:t>
      </w:r>
      <w:r w:rsidR="00991B7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991B7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991B7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991B75" w:rsidRPr="00B67843" w:rsidRDefault="00991B75" w:rsidP="008B52AB">
      <w:pPr>
        <w:pStyle w:val="NoSpacing"/>
        <w:ind w:firstLine="465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260"/>
        <w:gridCol w:w="1560"/>
      </w:tblGrid>
      <w:tr w:rsidR="00991B75" w:rsidRPr="00B67843" w:rsidTr="00180D66">
        <w:tc>
          <w:tcPr>
            <w:tcW w:w="1384" w:type="dxa"/>
          </w:tcPr>
          <w:p w:rsidR="00991B75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РЕДНИ</w:t>
            </w:r>
            <w:r w:rsidR="00991B75"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3260" w:type="dxa"/>
          </w:tcPr>
          <w:p w:rsidR="00991B75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560" w:type="dxa"/>
          </w:tcPr>
          <w:p w:rsidR="00991B75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ИЗНОС</w:t>
            </w:r>
          </w:p>
          <w:p w:rsidR="00991B75" w:rsidRPr="00B67843" w:rsidRDefault="00991B75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991B75" w:rsidRPr="00B67843" w:rsidTr="00180D66">
        <w:tc>
          <w:tcPr>
            <w:tcW w:w="1384" w:type="dxa"/>
          </w:tcPr>
          <w:p w:rsidR="00991B75" w:rsidRPr="00B67843" w:rsidRDefault="00991B75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260" w:type="dxa"/>
          </w:tcPr>
          <w:p w:rsidR="00991B75" w:rsidRPr="00B67843" w:rsidRDefault="00B67843" w:rsidP="00524969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хране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пиће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за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учеснике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З</w:t>
            </w:r>
            <w:r w:rsidR="00524969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котлића</w:t>
            </w:r>
          </w:p>
        </w:tc>
        <w:tc>
          <w:tcPr>
            <w:tcW w:w="1560" w:type="dxa"/>
          </w:tcPr>
          <w:p w:rsidR="00991B75" w:rsidRPr="00B67843" w:rsidRDefault="00524969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368,83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  <w:tr w:rsidR="00991B75" w:rsidRPr="00B67843" w:rsidTr="00180D66">
        <w:tc>
          <w:tcPr>
            <w:tcW w:w="1384" w:type="dxa"/>
          </w:tcPr>
          <w:p w:rsidR="00991B75" w:rsidRPr="00B67843" w:rsidRDefault="00991B75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260" w:type="dxa"/>
          </w:tcPr>
          <w:p w:rsidR="00991B75" w:rsidRPr="00B67843" w:rsidRDefault="00B67843" w:rsidP="00524969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пропагадног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материјала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мајице</w:t>
            </w:r>
            <w:r w:rsidR="00524969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награде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560" w:type="dxa"/>
          </w:tcPr>
          <w:p w:rsidR="00991B75" w:rsidRPr="00B67843" w:rsidRDefault="00524969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2.337,36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  <w:tr w:rsidR="00991B75" w:rsidRPr="00B67843" w:rsidTr="00180D66">
        <w:tc>
          <w:tcPr>
            <w:tcW w:w="1384" w:type="dxa"/>
          </w:tcPr>
          <w:p w:rsidR="00991B75" w:rsidRPr="00B67843" w:rsidRDefault="00991B75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260" w:type="dxa"/>
          </w:tcPr>
          <w:p w:rsidR="00991B75" w:rsidRPr="00B67843" w:rsidRDefault="00B67843" w:rsidP="00524969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Остали</w:t>
            </w:r>
            <w:r w:rsidR="00524969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991B75" w:rsidRPr="00B67843" w:rsidRDefault="00524969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283,21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  <w:tr w:rsidR="00991B75" w:rsidRPr="00B67843" w:rsidTr="00180D66">
        <w:tc>
          <w:tcPr>
            <w:tcW w:w="1384" w:type="dxa"/>
          </w:tcPr>
          <w:p w:rsidR="00991B75" w:rsidRPr="00B67843" w:rsidRDefault="00991B75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lastRenderedPageBreak/>
              <w:t>4.</w:t>
            </w:r>
          </w:p>
        </w:tc>
        <w:tc>
          <w:tcPr>
            <w:tcW w:w="3260" w:type="dxa"/>
          </w:tcPr>
          <w:p w:rsidR="00991B75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Путни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трошкови</w:t>
            </w:r>
            <w:r w:rsidR="00991B75" w:rsidRPr="00B67843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991B75" w:rsidRPr="00B67843" w:rsidRDefault="00524969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188,00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  <w:tr w:rsidR="00991B75" w:rsidRPr="00B67843" w:rsidTr="00180D66">
        <w:tc>
          <w:tcPr>
            <w:tcW w:w="1384" w:type="dxa"/>
          </w:tcPr>
          <w:p w:rsidR="00991B75" w:rsidRPr="00B67843" w:rsidRDefault="00991B75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260" w:type="dxa"/>
          </w:tcPr>
          <w:p w:rsidR="00991B75" w:rsidRPr="00B67843" w:rsidRDefault="00B67843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УКУПНО</w:t>
            </w:r>
          </w:p>
          <w:p w:rsidR="00991B75" w:rsidRPr="00B67843" w:rsidRDefault="00991B75" w:rsidP="00180D66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991B75" w:rsidRPr="00B67843" w:rsidRDefault="00524969" w:rsidP="00180D66">
            <w:pPr>
              <w:pStyle w:val="NoSpacing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3.177,40</w:t>
            </w:r>
            <w:r w:rsidR="00B67843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КМ</w:t>
            </w:r>
          </w:p>
        </w:tc>
      </w:tr>
    </w:tbl>
    <w:p w:rsidR="00991B75" w:rsidRPr="00B67843" w:rsidRDefault="00991B75" w:rsidP="008B52AB">
      <w:pPr>
        <w:pStyle w:val="NoSpacing"/>
        <w:ind w:firstLine="465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24969" w:rsidRPr="00B67843" w:rsidRDefault="00524969" w:rsidP="005B2AE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B52AB" w:rsidRPr="00B67843" w:rsidRDefault="00B67843" w:rsidP="008B52AB">
      <w:pPr>
        <w:pStyle w:val="NoSpacing"/>
        <w:ind w:firstLine="465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боравишној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такси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гласник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РС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78/11)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регулисана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расподјела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прихода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боравишне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таксе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туристичких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26473C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буџета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локалне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самоуправе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80 %,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Туристичкој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организацији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Српске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20%.</w:t>
      </w:r>
    </w:p>
    <w:p w:rsidR="008B52AB" w:rsidRPr="00B67843" w:rsidRDefault="008B52AB" w:rsidP="008B52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Приходи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боравишне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таксе</w:t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2012.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износили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53.824,44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FF43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F209C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209CD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2013.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износили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56.333,76</w:t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боравишна</w:t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такса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2014.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износила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914E4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58.408,80</w:t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52496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боравишна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такса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износи</w:t>
      </w:r>
      <w:r w:rsidR="00180D66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65.724,99</w:t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524969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2531CE" w:rsidRPr="00B67843" w:rsidRDefault="002531CE" w:rsidP="008B52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Одобрени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буџет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Турстичке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Бијељине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годину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280.150,00</w:t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поменути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износ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укључени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приходи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боравишне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таксе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005998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2015.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годину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износе</w:t>
      </w:r>
      <w:r w:rsidR="00C72D7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65.724,99</w:t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КМ</w:t>
      </w:r>
      <w:r w:rsidR="00C72D7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C72D7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C72D73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представљају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приход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180D66" w:rsidRPr="00B67843" w:rsidRDefault="00180D66" w:rsidP="008B52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838BE" w:rsidRPr="00B67843" w:rsidRDefault="006838BE" w:rsidP="008B52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180D66" w:rsidRPr="00B67843" w:rsidRDefault="00180D66" w:rsidP="008B52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2D73" w:rsidRPr="00B67843" w:rsidRDefault="00C72D73" w:rsidP="00AF16F5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16F5" w:rsidRPr="00B67843" w:rsidRDefault="00AF16F5" w:rsidP="00AF16F5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16F5" w:rsidRPr="00B67843" w:rsidRDefault="00AF16F5" w:rsidP="00AF16F5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B212A" w:rsidRPr="00B67843" w:rsidRDefault="00BB212A" w:rsidP="00AF16F5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180D66" w:rsidRPr="00B67843" w:rsidRDefault="00180D66" w:rsidP="00AF16F5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B52AB" w:rsidRPr="00B67843" w:rsidRDefault="00B67843" w:rsidP="00334BFF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C87BC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55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/16</w:t>
      </w:r>
      <w:r w:rsidR="00334BF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334BF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334BF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334BF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334BF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334BF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Туристичке</w:t>
      </w:r>
      <w:r w:rsidR="00334BF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</w:p>
    <w:p w:rsidR="008B52AB" w:rsidRPr="00B67843" w:rsidRDefault="00B67843" w:rsidP="008B52AB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Датум</w:t>
      </w:r>
      <w:r w:rsidR="008B52A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C87BC2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28</w:t>
      </w:r>
      <w:r w:rsidR="00FF433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.01</w:t>
      </w:r>
      <w:r w:rsidR="00D1245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AF16F5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="0071740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D17D2" w:rsidRPr="00B67843" w:rsidRDefault="008B52AB" w:rsidP="00334BFF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926AA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</w:t>
      </w:r>
      <w:r w:rsidR="00334BFF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______________________</w:t>
      </w:r>
      <w:r w:rsidR="00FC0FEB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>________</w:t>
      </w:r>
    </w:p>
    <w:p w:rsidR="00224886" w:rsidRPr="00B67843" w:rsidRDefault="00334BFF" w:rsidP="00D52D2A">
      <w:pPr>
        <w:pStyle w:val="NoSpacing"/>
        <w:tabs>
          <w:tab w:val="left" w:pos="5280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Јован</w:t>
      </w:r>
      <w:r w:rsidR="00B63901" w:rsidRPr="00B67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67843">
        <w:rPr>
          <w:rFonts w:ascii="Times New Roman" w:hAnsi="Times New Roman" w:cs="Times New Roman"/>
          <w:noProof/>
          <w:sz w:val="24"/>
          <w:szCs w:val="24"/>
          <w:lang w:val="sr-Cyrl-CS"/>
        </w:rPr>
        <w:t>Љубојевић</w:t>
      </w:r>
    </w:p>
    <w:sectPr w:rsidR="00224886" w:rsidRPr="00B67843" w:rsidSect="005B2AE3">
      <w:footerReference w:type="default" r:id="rId15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5FF" w:rsidRDefault="00BE45FF" w:rsidP="00D124A7">
      <w:pPr>
        <w:pStyle w:val="NoSpacing"/>
      </w:pPr>
      <w:r>
        <w:separator/>
      </w:r>
    </w:p>
  </w:endnote>
  <w:endnote w:type="continuationSeparator" w:id="1">
    <w:p w:rsidR="00BE45FF" w:rsidRDefault="00BE45FF" w:rsidP="00D124A7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man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9391"/>
      <w:docPartObj>
        <w:docPartGallery w:val="Page Numbers (Bottom of Page)"/>
        <w:docPartUnique/>
      </w:docPartObj>
    </w:sdtPr>
    <w:sdtContent>
      <w:p w:rsidR="0026473C" w:rsidRDefault="0026473C">
        <w:pPr>
          <w:pStyle w:val="Footer"/>
          <w:jc w:val="right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3236DD" w:rsidRPr="00B67843" w:rsidRDefault="003236DD">
    <w:pPr>
      <w:pStyle w:val="Footer"/>
      <w:rPr>
        <w:noProof/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5FF" w:rsidRDefault="00BE45FF" w:rsidP="00D124A7">
      <w:pPr>
        <w:pStyle w:val="NoSpacing"/>
      </w:pPr>
      <w:r>
        <w:separator/>
      </w:r>
    </w:p>
  </w:footnote>
  <w:footnote w:type="continuationSeparator" w:id="1">
    <w:p w:rsidR="00BE45FF" w:rsidRDefault="00BE45FF" w:rsidP="00D124A7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300B"/>
    <w:multiLevelType w:val="hybridMultilevel"/>
    <w:tmpl w:val="198C5B5E"/>
    <w:lvl w:ilvl="0" w:tplc="0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4091D37"/>
    <w:multiLevelType w:val="hybridMultilevel"/>
    <w:tmpl w:val="321256D6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C81134C"/>
    <w:multiLevelType w:val="hybridMultilevel"/>
    <w:tmpl w:val="67A6B056"/>
    <w:lvl w:ilvl="0" w:tplc="081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2FCA0963"/>
    <w:multiLevelType w:val="hybridMultilevel"/>
    <w:tmpl w:val="77F8FAFC"/>
    <w:lvl w:ilvl="0" w:tplc="9E6C1A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7C54B7"/>
    <w:multiLevelType w:val="hybridMultilevel"/>
    <w:tmpl w:val="426EC570"/>
    <w:lvl w:ilvl="0" w:tplc="08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22CD0"/>
    <w:multiLevelType w:val="hybridMultilevel"/>
    <w:tmpl w:val="32125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C5C1C"/>
    <w:multiLevelType w:val="hybridMultilevel"/>
    <w:tmpl w:val="FC5C132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F205A"/>
    <w:multiLevelType w:val="hybridMultilevel"/>
    <w:tmpl w:val="D57EC740"/>
    <w:lvl w:ilvl="0" w:tplc="0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97A1515"/>
    <w:multiLevelType w:val="hybridMultilevel"/>
    <w:tmpl w:val="0DF6E7B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F4320"/>
    <w:multiLevelType w:val="hybridMultilevel"/>
    <w:tmpl w:val="1B66645C"/>
    <w:lvl w:ilvl="0" w:tplc="2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63181"/>
    <w:multiLevelType w:val="hybridMultilevel"/>
    <w:tmpl w:val="54BC118E"/>
    <w:lvl w:ilvl="0" w:tplc="1D92ABE0">
      <w:start w:val="1140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>
    <w:nsid w:val="7D6430E9"/>
    <w:multiLevelType w:val="hybridMultilevel"/>
    <w:tmpl w:val="040ED3C6"/>
    <w:lvl w:ilvl="0" w:tplc="08D2A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24886"/>
    <w:rsid w:val="000000AC"/>
    <w:rsid w:val="00002AFC"/>
    <w:rsid w:val="00004F19"/>
    <w:rsid w:val="000055CC"/>
    <w:rsid w:val="00005998"/>
    <w:rsid w:val="00007C44"/>
    <w:rsid w:val="00011884"/>
    <w:rsid w:val="0001372D"/>
    <w:rsid w:val="0003292C"/>
    <w:rsid w:val="000340F3"/>
    <w:rsid w:val="00036473"/>
    <w:rsid w:val="00036CAA"/>
    <w:rsid w:val="00037591"/>
    <w:rsid w:val="00040519"/>
    <w:rsid w:val="00040EA8"/>
    <w:rsid w:val="000417A7"/>
    <w:rsid w:val="0004231A"/>
    <w:rsid w:val="00044E6D"/>
    <w:rsid w:val="000512C5"/>
    <w:rsid w:val="00057C99"/>
    <w:rsid w:val="0006726C"/>
    <w:rsid w:val="00071BF0"/>
    <w:rsid w:val="00073FAA"/>
    <w:rsid w:val="0007598B"/>
    <w:rsid w:val="00075DC8"/>
    <w:rsid w:val="000769E2"/>
    <w:rsid w:val="0008606A"/>
    <w:rsid w:val="00086C96"/>
    <w:rsid w:val="00093139"/>
    <w:rsid w:val="00094198"/>
    <w:rsid w:val="00097CE3"/>
    <w:rsid w:val="000A0CC4"/>
    <w:rsid w:val="000A2FBE"/>
    <w:rsid w:val="000A60E6"/>
    <w:rsid w:val="000B231D"/>
    <w:rsid w:val="000C3F80"/>
    <w:rsid w:val="000C485D"/>
    <w:rsid w:val="000C4AEE"/>
    <w:rsid w:val="000D79ED"/>
    <w:rsid w:val="000E1BE2"/>
    <w:rsid w:val="000E3437"/>
    <w:rsid w:val="000E396A"/>
    <w:rsid w:val="000F4143"/>
    <w:rsid w:val="00101AAF"/>
    <w:rsid w:val="00104A0C"/>
    <w:rsid w:val="00121A84"/>
    <w:rsid w:val="00124B42"/>
    <w:rsid w:val="001258D7"/>
    <w:rsid w:val="0017444F"/>
    <w:rsid w:val="00180D66"/>
    <w:rsid w:val="001862FE"/>
    <w:rsid w:val="00190591"/>
    <w:rsid w:val="0019065F"/>
    <w:rsid w:val="00191C7F"/>
    <w:rsid w:val="00196B90"/>
    <w:rsid w:val="001A2413"/>
    <w:rsid w:val="001A4ED1"/>
    <w:rsid w:val="001A593E"/>
    <w:rsid w:val="001A6D3C"/>
    <w:rsid w:val="001A7F73"/>
    <w:rsid w:val="001B672B"/>
    <w:rsid w:val="001D2B27"/>
    <w:rsid w:val="001E11A2"/>
    <w:rsid w:val="001E4A53"/>
    <w:rsid w:val="001F19A1"/>
    <w:rsid w:val="001F454B"/>
    <w:rsid w:val="00201240"/>
    <w:rsid w:val="00201283"/>
    <w:rsid w:val="00202D93"/>
    <w:rsid w:val="00204192"/>
    <w:rsid w:val="0021001D"/>
    <w:rsid w:val="00214909"/>
    <w:rsid w:val="002150FB"/>
    <w:rsid w:val="00215CF9"/>
    <w:rsid w:val="00216E62"/>
    <w:rsid w:val="00217E45"/>
    <w:rsid w:val="00224886"/>
    <w:rsid w:val="00225CBB"/>
    <w:rsid w:val="002328ED"/>
    <w:rsid w:val="00234324"/>
    <w:rsid w:val="00234C62"/>
    <w:rsid w:val="002365EE"/>
    <w:rsid w:val="0024170C"/>
    <w:rsid w:val="00244D46"/>
    <w:rsid w:val="00247106"/>
    <w:rsid w:val="0025315F"/>
    <w:rsid w:val="002531CE"/>
    <w:rsid w:val="002537E6"/>
    <w:rsid w:val="0025395E"/>
    <w:rsid w:val="0025476E"/>
    <w:rsid w:val="002565DB"/>
    <w:rsid w:val="00262F5E"/>
    <w:rsid w:val="0026473C"/>
    <w:rsid w:val="00274521"/>
    <w:rsid w:val="002850C3"/>
    <w:rsid w:val="0028583E"/>
    <w:rsid w:val="002A1B4C"/>
    <w:rsid w:val="002A6C9A"/>
    <w:rsid w:val="002A6FA3"/>
    <w:rsid w:val="002A771F"/>
    <w:rsid w:val="002B0E3F"/>
    <w:rsid w:val="002C05D1"/>
    <w:rsid w:val="002C50AB"/>
    <w:rsid w:val="002D07B1"/>
    <w:rsid w:val="002D0B1A"/>
    <w:rsid w:val="002D4DA7"/>
    <w:rsid w:val="002D599E"/>
    <w:rsid w:val="002E1A10"/>
    <w:rsid w:val="002E51E7"/>
    <w:rsid w:val="002F3EE5"/>
    <w:rsid w:val="002F5AA7"/>
    <w:rsid w:val="003006BF"/>
    <w:rsid w:val="00315EEE"/>
    <w:rsid w:val="00317214"/>
    <w:rsid w:val="00322948"/>
    <w:rsid w:val="003236DD"/>
    <w:rsid w:val="00325A4A"/>
    <w:rsid w:val="003273B1"/>
    <w:rsid w:val="00330BB0"/>
    <w:rsid w:val="00334BFF"/>
    <w:rsid w:val="00360444"/>
    <w:rsid w:val="00382900"/>
    <w:rsid w:val="003874B7"/>
    <w:rsid w:val="00387916"/>
    <w:rsid w:val="00394529"/>
    <w:rsid w:val="00396402"/>
    <w:rsid w:val="003A06CE"/>
    <w:rsid w:val="003A24A9"/>
    <w:rsid w:val="003A3248"/>
    <w:rsid w:val="003A6AFF"/>
    <w:rsid w:val="003A7BAA"/>
    <w:rsid w:val="003B5C5A"/>
    <w:rsid w:val="003C0FA1"/>
    <w:rsid w:val="003C6081"/>
    <w:rsid w:val="003C6A52"/>
    <w:rsid w:val="003D3A7F"/>
    <w:rsid w:val="003F11DD"/>
    <w:rsid w:val="00401D20"/>
    <w:rsid w:val="00406157"/>
    <w:rsid w:val="00421803"/>
    <w:rsid w:val="004314F0"/>
    <w:rsid w:val="00433FD5"/>
    <w:rsid w:val="00436169"/>
    <w:rsid w:val="004415D2"/>
    <w:rsid w:val="00441A46"/>
    <w:rsid w:val="00442204"/>
    <w:rsid w:val="00453490"/>
    <w:rsid w:val="00461FF0"/>
    <w:rsid w:val="00473F39"/>
    <w:rsid w:val="004827CB"/>
    <w:rsid w:val="00483E4A"/>
    <w:rsid w:val="004A35BD"/>
    <w:rsid w:val="004B2338"/>
    <w:rsid w:val="004B5923"/>
    <w:rsid w:val="004B6BB7"/>
    <w:rsid w:val="004D554B"/>
    <w:rsid w:val="004D6A17"/>
    <w:rsid w:val="004E1F65"/>
    <w:rsid w:val="004E3309"/>
    <w:rsid w:val="004E61FE"/>
    <w:rsid w:val="004F24D8"/>
    <w:rsid w:val="004F3682"/>
    <w:rsid w:val="00517228"/>
    <w:rsid w:val="00517DFA"/>
    <w:rsid w:val="00524969"/>
    <w:rsid w:val="00525790"/>
    <w:rsid w:val="005316B9"/>
    <w:rsid w:val="00535770"/>
    <w:rsid w:val="00541DCF"/>
    <w:rsid w:val="00542133"/>
    <w:rsid w:val="005479C1"/>
    <w:rsid w:val="0055625F"/>
    <w:rsid w:val="00560C59"/>
    <w:rsid w:val="00570D1B"/>
    <w:rsid w:val="00571B92"/>
    <w:rsid w:val="00571BBB"/>
    <w:rsid w:val="00572EF3"/>
    <w:rsid w:val="00575439"/>
    <w:rsid w:val="00576B04"/>
    <w:rsid w:val="005812D7"/>
    <w:rsid w:val="0058296A"/>
    <w:rsid w:val="0059577B"/>
    <w:rsid w:val="00596B2C"/>
    <w:rsid w:val="00597863"/>
    <w:rsid w:val="005A5B05"/>
    <w:rsid w:val="005B2601"/>
    <w:rsid w:val="005B2AE3"/>
    <w:rsid w:val="005C309C"/>
    <w:rsid w:val="005D17D2"/>
    <w:rsid w:val="005D7351"/>
    <w:rsid w:val="005F3265"/>
    <w:rsid w:val="00613EB8"/>
    <w:rsid w:val="00614E96"/>
    <w:rsid w:val="00622FA9"/>
    <w:rsid w:val="0062326C"/>
    <w:rsid w:val="00623EF9"/>
    <w:rsid w:val="006246DE"/>
    <w:rsid w:val="00624958"/>
    <w:rsid w:val="00624DD2"/>
    <w:rsid w:val="00624F2E"/>
    <w:rsid w:val="006269E4"/>
    <w:rsid w:val="00630FB2"/>
    <w:rsid w:val="00631AB5"/>
    <w:rsid w:val="006422FC"/>
    <w:rsid w:val="006446DC"/>
    <w:rsid w:val="0065087F"/>
    <w:rsid w:val="00652452"/>
    <w:rsid w:val="006647AB"/>
    <w:rsid w:val="00672B65"/>
    <w:rsid w:val="0067456F"/>
    <w:rsid w:val="00675B77"/>
    <w:rsid w:val="006770D9"/>
    <w:rsid w:val="00681B82"/>
    <w:rsid w:val="006838BE"/>
    <w:rsid w:val="00692D83"/>
    <w:rsid w:val="006A3FB0"/>
    <w:rsid w:val="006B0D09"/>
    <w:rsid w:val="006B38FC"/>
    <w:rsid w:val="006C3D0E"/>
    <w:rsid w:val="006C7E64"/>
    <w:rsid w:val="006D200C"/>
    <w:rsid w:val="006D650D"/>
    <w:rsid w:val="006F1B2A"/>
    <w:rsid w:val="006F374B"/>
    <w:rsid w:val="0070601E"/>
    <w:rsid w:val="00711C95"/>
    <w:rsid w:val="00713AA5"/>
    <w:rsid w:val="0071740A"/>
    <w:rsid w:val="007224A9"/>
    <w:rsid w:val="007249DD"/>
    <w:rsid w:val="00730A79"/>
    <w:rsid w:val="007310E6"/>
    <w:rsid w:val="00732729"/>
    <w:rsid w:val="007348C3"/>
    <w:rsid w:val="00741C97"/>
    <w:rsid w:val="00743B3B"/>
    <w:rsid w:val="00750057"/>
    <w:rsid w:val="00755840"/>
    <w:rsid w:val="0075685D"/>
    <w:rsid w:val="00766B8B"/>
    <w:rsid w:val="007677A2"/>
    <w:rsid w:val="007759DB"/>
    <w:rsid w:val="007833E0"/>
    <w:rsid w:val="007846C5"/>
    <w:rsid w:val="00791620"/>
    <w:rsid w:val="007A059F"/>
    <w:rsid w:val="007A35BD"/>
    <w:rsid w:val="007B30EF"/>
    <w:rsid w:val="007C1D3A"/>
    <w:rsid w:val="007C29BA"/>
    <w:rsid w:val="007C3E92"/>
    <w:rsid w:val="007C6EED"/>
    <w:rsid w:val="007D47D0"/>
    <w:rsid w:val="007D5CED"/>
    <w:rsid w:val="007D6180"/>
    <w:rsid w:val="007D7B0B"/>
    <w:rsid w:val="007E149D"/>
    <w:rsid w:val="007E181A"/>
    <w:rsid w:val="007E514D"/>
    <w:rsid w:val="007E601B"/>
    <w:rsid w:val="007E715C"/>
    <w:rsid w:val="007F2BF2"/>
    <w:rsid w:val="007F436B"/>
    <w:rsid w:val="00805B58"/>
    <w:rsid w:val="00807095"/>
    <w:rsid w:val="008107A2"/>
    <w:rsid w:val="00814CBA"/>
    <w:rsid w:val="008234D5"/>
    <w:rsid w:val="00837500"/>
    <w:rsid w:val="00837D59"/>
    <w:rsid w:val="00841932"/>
    <w:rsid w:val="008451B8"/>
    <w:rsid w:val="00852137"/>
    <w:rsid w:val="008626B2"/>
    <w:rsid w:val="008637AD"/>
    <w:rsid w:val="00870383"/>
    <w:rsid w:val="00873180"/>
    <w:rsid w:val="008926AA"/>
    <w:rsid w:val="00895588"/>
    <w:rsid w:val="008A288F"/>
    <w:rsid w:val="008A4075"/>
    <w:rsid w:val="008A6976"/>
    <w:rsid w:val="008B196E"/>
    <w:rsid w:val="008B3DA5"/>
    <w:rsid w:val="008B52AB"/>
    <w:rsid w:val="008B7695"/>
    <w:rsid w:val="008D1EF9"/>
    <w:rsid w:val="008D1FF3"/>
    <w:rsid w:val="008D3C3D"/>
    <w:rsid w:val="008D5C6F"/>
    <w:rsid w:val="008E10D1"/>
    <w:rsid w:val="008E432F"/>
    <w:rsid w:val="008E55EC"/>
    <w:rsid w:val="008E5D98"/>
    <w:rsid w:val="008E5E5C"/>
    <w:rsid w:val="008E63AA"/>
    <w:rsid w:val="008F5B38"/>
    <w:rsid w:val="008F61B6"/>
    <w:rsid w:val="008F62B3"/>
    <w:rsid w:val="00901606"/>
    <w:rsid w:val="0090740F"/>
    <w:rsid w:val="009117C4"/>
    <w:rsid w:val="00912F49"/>
    <w:rsid w:val="00914E4A"/>
    <w:rsid w:val="00926727"/>
    <w:rsid w:val="00932A20"/>
    <w:rsid w:val="009366CD"/>
    <w:rsid w:val="00955D28"/>
    <w:rsid w:val="009647E1"/>
    <w:rsid w:val="00965DF4"/>
    <w:rsid w:val="009711F6"/>
    <w:rsid w:val="009729F2"/>
    <w:rsid w:val="00975450"/>
    <w:rsid w:val="00980416"/>
    <w:rsid w:val="00986168"/>
    <w:rsid w:val="00991B75"/>
    <w:rsid w:val="009B0CDB"/>
    <w:rsid w:val="009D08A3"/>
    <w:rsid w:val="009E2F25"/>
    <w:rsid w:val="009F5B36"/>
    <w:rsid w:val="009F6F2B"/>
    <w:rsid w:val="00A01E16"/>
    <w:rsid w:val="00A047C5"/>
    <w:rsid w:val="00A06090"/>
    <w:rsid w:val="00A15803"/>
    <w:rsid w:val="00A158E3"/>
    <w:rsid w:val="00A16CE6"/>
    <w:rsid w:val="00A24267"/>
    <w:rsid w:val="00A244BA"/>
    <w:rsid w:val="00A33236"/>
    <w:rsid w:val="00A333D1"/>
    <w:rsid w:val="00A36935"/>
    <w:rsid w:val="00A416AA"/>
    <w:rsid w:val="00A43E3F"/>
    <w:rsid w:val="00A5708F"/>
    <w:rsid w:val="00A65AB4"/>
    <w:rsid w:val="00A92A4E"/>
    <w:rsid w:val="00A92E90"/>
    <w:rsid w:val="00AA5AAE"/>
    <w:rsid w:val="00AB176F"/>
    <w:rsid w:val="00AB1BE4"/>
    <w:rsid w:val="00AC1BFC"/>
    <w:rsid w:val="00AC2128"/>
    <w:rsid w:val="00AC281B"/>
    <w:rsid w:val="00AC2B0F"/>
    <w:rsid w:val="00AC3422"/>
    <w:rsid w:val="00AC5367"/>
    <w:rsid w:val="00AD01E4"/>
    <w:rsid w:val="00AD0EEA"/>
    <w:rsid w:val="00AD1B92"/>
    <w:rsid w:val="00AD3245"/>
    <w:rsid w:val="00AF16F5"/>
    <w:rsid w:val="00AF5837"/>
    <w:rsid w:val="00AF6682"/>
    <w:rsid w:val="00B004E0"/>
    <w:rsid w:val="00B00B3A"/>
    <w:rsid w:val="00B02F27"/>
    <w:rsid w:val="00B07E5B"/>
    <w:rsid w:val="00B11C0A"/>
    <w:rsid w:val="00B17815"/>
    <w:rsid w:val="00B20BC1"/>
    <w:rsid w:val="00B2414B"/>
    <w:rsid w:val="00B317F0"/>
    <w:rsid w:val="00B3306C"/>
    <w:rsid w:val="00B3708A"/>
    <w:rsid w:val="00B40CDB"/>
    <w:rsid w:val="00B4742A"/>
    <w:rsid w:val="00B47C81"/>
    <w:rsid w:val="00B50063"/>
    <w:rsid w:val="00B5531B"/>
    <w:rsid w:val="00B55CA3"/>
    <w:rsid w:val="00B578CE"/>
    <w:rsid w:val="00B63901"/>
    <w:rsid w:val="00B64DD2"/>
    <w:rsid w:val="00B67843"/>
    <w:rsid w:val="00B71C64"/>
    <w:rsid w:val="00B82BE3"/>
    <w:rsid w:val="00B8559B"/>
    <w:rsid w:val="00B969B0"/>
    <w:rsid w:val="00B96B05"/>
    <w:rsid w:val="00B97F40"/>
    <w:rsid w:val="00BA3CAA"/>
    <w:rsid w:val="00BB1BFF"/>
    <w:rsid w:val="00BB212A"/>
    <w:rsid w:val="00BC45D8"/>
    <w:rsid w:val="00BC6E41"/>
    <w:rsid w:val="00BD6EF1"/>
    <w:rsid w:val="00BE3180"/>
    <w:rsid w:val="00BE3B6C"/>
    <w:rsid w:val="00BE45FF"/>
    <w:rsid w:val="00BF1ACF"/>
    <w:rsid w:val="00BF636B"/>
    <w:rsid w:val="00C04976"/>
    <w:rsid w:val="00C07731"/>
    <w:rsid w:val="00C12D94"/>
    <w:rsid w:val="00C1470E"/>
    <w:rsid w:val="00C1647C"/>
    <w:rsid w:val="00C16675"/>
    <w:rsid w:val="00C16BB4"/>
    <w:rsid w:val="00C32099"/>
    <w:rsid w:val="00C3390D"/>
    <w:rsid w:val="00C368BA"/>
    <w:rsid w:val="00C46E9B"/>
    <w:rsid w:val="00C5791F"/>
    <w:rsid w:val="00C628A3"/>
    <w:rsid w:val="00C668A7"/>
    <w:rsid w:val="00C72D73"/>
    <w:rsid w:val="00C734EC"/>
    <w:rsid w:val="00C758C4"/>
    <w:rsid w:val="00C77ABC"/>
    <w:rsid w:val="00C80508"/>
    <w:rsid w:val="00C80F1E"/>
    <w:rsid w:val="00C863D3"/>
    <w:rsid w:val="00C87BC2"/>
    <w:rsid w:val="00C9290B"/>
    <w:rsid w:val="00C95852"/>
    <w:rsid w:val="00CA30C8"/>
    <w:rsid w:val="00CA4AC6"/>
    <w:rsid w:val="00CA7926"/>
    <w:rsid w:val="00CC56BD"/>
    <w:rsid w:val="00CC5A92"/>
    <w:rsid w:val="00CC5EAB"/>
    <w:rsid w:val="00CC6C4D"/>
    <w:rsid w:val="00CC76AB"/>
    <w:rsid w:val="00CE6644"/>
    <w:rsid w:val="00CF3719"/>
    <w:rsid w:val="00CF553A"/>
    <w:rsid w:val="00CF6557"/>
    <w:rsid w:val="00D0381E"/>
    <w:rsid w:val="00D10872"/>
    <w:rsid w:val="00D12455"/>
    <w:rsid w:val="00D124A7"/>
    <w:rsid w:val="00D2543A"/>
    <w:rsid w:val="00D25768"/>
    <w:rsid w:val="00D35235"/>
    <w:rsid w:val="00D35CF4"/>
    <w:rsid w:val="00D478F6"/>
    <w:rsid w:val="00D502BF"/>
    <w:rsid w:val="00D50B5D"/>
    <w:rsid w:val="00D52D2A"/>
    <w:rsid w:val="00D56441"/>
    <w:rsid w:val="00D5717F"/>
    <w:rsid w:val="00D57902"/>
    <w:rsid w:val="00D62CC3"/>
    <w:rsid w:val="00D93F5E"/>
    <w:rsid w:val="00D9417F"/>
    <w:rsid w:val="00D95D77"/>
    <w:rsid w:val="00DA21A9"/>
    <w:rsid w:val="00DB3C4A"/>
    <w:rsid w:val="00DC35DE"/>
    <w:rsid w:val="00DC628C"/>
    <w:rsid w:val="00DC774D"/>
    <w:rsid w:val="00DD0EDF"/>
    <w:rsid w:val="00DD463A"/>
    <w:rsid w:val="00DE4F7D"/>
    <w:rsid w:val="00DE57D3"/>
    <w:rsid w:val="00DE5D6A"/>
    <w:rsid w:val="00DF12C6"/>
    <w:rsid w:val="00DF1730"/>
    <w:rsid w:val="00DF2FA9"/>
    <w:rsid w:val="00E02BE3"/>
    <w:rsid w:val="00E176C8"/>
    <w:rsid w:val="00E20356"/>
    <w:rsid w:val="00E20F45"/>
    <w:rsid w:val="00E2308F"/>
    <w:rsid w:val="00E2555F"/>
    <w:rsid w:val="00E32DC2"/>
    <w:rsid w:val="00E350AC"/>
    <w:rsid w:val="00E36813"/>
    <w:rsid w:val="00E56839"/>
    <w:rsid w:val="00E609BC"/>
    <w:rsid w:val="00E651A2"/>
    <w:rsid w:val="00E66B09"/>
    <w:rsid w:val="00E73B25"/>
    <w:rsid w:val="00E77CF0"/>
    <w:rsid w:val="00E86D2E"/>
    <w:rsid w:val="00E936C0"/>
    <w:rsid w:val="00E97062"/>
    <w:rsid w:val="00EA0438"/>
    <w:rsid w:val="00EA4372"/>
    <w:rsid w:val="00EA7CA6"/>
    <w:rsid w:val="00EB0006"/>
    <w:rsid w:val="00EB5872"/>
    <w:rsid w:val="00EB657A"/>
    <w:rsid w:val="00EC3FB4"/>
    <w:rsid w:val="00EC43BC"/>
    <w:rsid w:val="00EC48AB"/>
    <w:rsid w:val="00EC550D"/>
    <w:rsid w:val="00ED05B4"/>
    <w:rsid w:val="00ED2CA3"/>
    <w:rsid w:val="00ED5D58"/>
    <w:rsid w:val="00EE24CF"/>
    <w:rsid w:val="00EE4764"/>
    <w:rsid w:val="00EF32CE"/>
    <w:rsid w:val="00F00C9F"/>
    <w:rsid w:val="00F0646E"/>
    <w:rsid w:val="00F14A4C"/>
    <w:rsid w:val="00F20272"/>
    <w:rsid w:val="00F209CD"/>
    <w:rsid w:val="00F215CB"/>
    <w:rsid w:val="00F26013"/>
    <w:rsid w:val="00F305DD"/>
    <w:rsid w:val="00F3700F"/>
    <w:rsid w:val="00F4303E"/>
    <w:rsid w:val="00F44CFC"/>
    <w:rsid w:val="00F45039"/>
    <w:rsid w:val="00F47A88"/>
    <w:rsid w:val="00F6764B"/>
    <w:rsid w:val="00F67B92"/>
    <w:rsid w:val="00F67E95"/>
    <w:rsid w:val="00F709A2"/>
    <w:rsid w:val="00F71E2E"/>
    <w:rsid w:val="00F85FB0"/>
    <w:rsid w:val="00F92A5C"/>
    <w:rsid w:val="00F934EE"/>
    <w:rsid w:val="00F93878"/>
    <w:rsid w:val="00F945DF"/>
    <w:rsid w:val="00F9771E"/>
    <w:rsid w:val="00F97F0D"/>
    <w:rsid w:val="00FA0531"/>
    <w:rsid w:val="00FA4CD6"/>
    <w:rsid w:val="00FB1342"/>
    <w:rsid w:val="00FB2C1B"/>
    <w:rsid w:val="00FB6BC6"/>
    <w:rsid w:val="00FB7E72"/>
    <w:rsid w:val="00FC0FEB"/>
    <w:rsid w:val="00FC22AF"/>
    <w:rsid w:val="00FD520D"/>
    <w:rsid w:val="00FD65CF"/>
    <w:rsid w:val="00FE0BCC"/>
    <w:rsid w:val="00FE4104"/>
    <w:rsid w:val="00FE6778"/>
    <w:rsid w:val="00FF4331"/>
    <w:rsid w:val="00FF4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886"/>
    <w:pPr>
      <w:spacing w:after="0" w:line="240" w:lineRule="auto"/>
    </w:pPr>
  </w:style>
  <w:style w:type="table" w:styleId="TableGrid">
    <w:name w:val="Table Grid"/>
    <w:basedOn w:val="TableNormal"/>
    <w:rsid w:val="00075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367"/>
    <w:pPr>
      <w:tabs>
        <w:tab w:val="center" w:pos="4702"/>
        <w:tab w:val="right" w:pos="9405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C536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C536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24A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A7"/>
  </w:style>
  <w:style w:type="paragraph" w:customStyle="1" w:styleId="Default">
    <w:name w:val="Default"/>
    <w:rsid w:val="0074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uristbn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x-none" sz="1200"/>
              <a:t>Број долазака и</a:t>
            </a:r>
            <a:r>
              <a:rPr lang="x-none" sz="1200" baseline="0"/>
              <a:t> ноћења туриста у 2014.г. и 2015.г.</a:t>
            </a:r>
            <a:endParaRPr lang="sr-Latn-BA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4"/>
                <c:pt idx="0">
                  <c:v>Број долазака у 2014</c:v>
                </c:pt>
                <c:pt idx="1">
                  <c:v>Број долазака у 2015</c:v>
                </c:pt>
                <c:pt idx="2">
                  <c:v>Број ноћења у 2014</c:v>
                </c:pt>
                <c:pt idx="3">
                  <c:v>Број ноћења у 2015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21782</c:v>
                </c:pt>
                <c:pt idx="1">
                  <c:v>0</c:v>
                </c:pt>
                <c:pt idx="2">
                  <c:v>40251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4"/>
                <c:pt idx="0">
                  <c:v>Број долазака у 2014</c:v>
                </c:pt>
                <c:pt idx="1">
                  <c:v>Број долазака у 2015</c:v>
                </c:pt>
                <c:pt idx="2">
                  <c:v>Број ноћења у 2014</c:v>
                </c:pt>
                <c:pt idx="3">
                  <c:v>Број ноћења у 2015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23355</c:v>
                </c:pt>
                <c:pt idx="2">
                  <c:v>1.8</c:v>
                </c:pt>
                <c:pt idx="3">
                  <c:v>44546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4"/>
                <c:pt idx="0">
                  <c:v>Број долазака у 2014</c:v>
                </c:pt>
                <c:pt idx="1">
                  <c:v>Број долазака у 2015</c:v>
                </c:pt>
                <c:pt idx="2">
                  <c:v>Број ноћења у 2014</c:v>
                </c:pt>
                <c:pt idx="3">
                  <c:v>Број ноћења у 2015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gapWidth val="219"/>
        <c:overlap val="-27"/>
        <c:axId val="156600192"/>
        <c:axId val="156601728"/>
      </c:barChart>
      <c:catAx>
        <c:axId val="156600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601728"/>
        <c:crosses val="autoZero"/>
        <c:auto val="1"/>
        <c:lblAlgn val="ctr"/>
        <c:lblOffset val="100"/>
      </c:catAx>
      <c:valAx>
        <c:axId val="156601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60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x-none" sz="1200"/>
              <a:t>Број долазака домаћих и страних туриста у 2015.г.</a:t>
            </a:r>
            <a:endParaRPr lang="sr-Latn-BA" sz="1200"/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Број долазака домаћих туриста у 2015.г.</c:v>
                </c:pt>
                <c:pt idx="1">
                  <c:v>Број долазака страних туриста у 2015.г.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13546</c:v>
                </c:pt>
                <c:pt idx="1">
                  <c:v>9809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x-none" sz="1100"/>
              <a:t>Број ноћења домаћих и страних туриста у 2015.г.</a:t>
            </a:r>
            <a:endParaRPr lang="sr-Latn-BA" sz="11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2"/>
                <c:pt idx="0">
                  <c:v>Број ноћења домаћих туриста у 2015</c:v>
                </c:pt>
                <c:pt idx="1">
                  <c:v>Број ноћења страних туриста у 2015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23609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2"/>
                <c:pt idx="0">
                  <c:v>Број ноћења домаћих туриста у 2015</c:v>
                </c:pt>
                <c:pt idx="1">
                  <c:v>Број ноћења страних туриста у 2015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20937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gapWidth val="219"/>
        <c:overlap val="-27"/>
        <c:axId val="156582272"/>
        <c:axId val="156583808"/>
      </c:barChart>
      <c:lineChart>
        <c:grouping val="standard"/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2"/>
                <c:pt idx="0">
                  <c:v>Број ноћења домаћих туриста у 2015</c:v>
                </c:pt>
                <c:pt idx="1">
                  <c:v>Број ноћења страних туриста у 2015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marker val="1"/>
        <c:axId val="156582272"/>
        <c:axId val="156583808"/>
      </c:lineChart>
      <c:catAx>
        <c:axId val="1565822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583808"/>
        <c:crosses val="autoZero"/>
        <c:auto val="1"/>
        <c:lblAlgn val="ctr"/>
        <c:lblOffset val="100"/>
      </c:catAx>
      <c:valAx>
        <c:axId val="1565838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582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x-none" sz="1200"/>
              <a:t>Износ боравишне таксе у 2012.г,</a:t>
            </a:r>
            <a:r>
              <a:rPr lang="x-none" sz="1200" baseline="0"/>
              <a:t> 2013.г, 2014.г, 2015.г.</a:t>
            </a:r>
            <a:endParaRPr lang="sr-Latn-BA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4"/>
                <c:pt idx="0">
                  <c:v>Боравишна такса у 2012.г.</c:v>
                </c:pt>
                <c:pt idx="1">
                  <c:v>Боравишна такса у 2013.г.</c:v>
                </c:pt>
                <c:pt idx="2">
                  <c:v>Боравишна такса у 2014.г.</c:v>
                </c:pt>
                <c:pt idx="3">
                  <c:v>Боравишна такса у 2015.г.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53824.44</c:v>
                </c:pt>
                <c:pt idx="1">
                  <c:v>2.5</c:v>
                </c:pt>
                <c:pt idx="2">
                  <c:v>58408.800000000003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4"/>
                <c:pt idx="0">
                  <c:v>Боравишна такса у 2012.г.</c:v>
                </c:pt>
                <c:pt idx="1">
                  <c:v>Боравишна такса у 2013.г.</c:v>
                </c:pt>
                <c:pt idx="2">
                  <c:v>Боравишна такса у 2014.г.</c:v>
                </c:pt>
                <c:pt idx="3">
                  <c:v>Боравишна такса у 2015.г.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56333.759999999995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Sheet1!$A$2:$A$5</c:f>
              <c:strCache>
                <c:ptCount val="4"/>
                <c:pt idx="0">
                  <c:v>Боравишна такса у 2012.г.</c:v>
                </c:pt>
                <c:pt idx="1">
                  <c:v>Боравишна такса у 2013.г.</c:v>
                </c:pt>
                <c:pt idx="2">
                  <c:v>Боравишна такса у 2014.г.</c:v>
                </c:pt>
                <c:pt idx="3">
                  <c:v>Боравишна такса у 2015.г.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65724.989999999991</c:v>
                </c:pt>
              </c:numCache>
            </c:numRef>
          </c:val>
        </c:ser>
        <c:gapWidth val="219"/>
        <c:overlap val="-27"/>
        <c:axId val="156997504"/>
        <c:axId val="156999040"/>
      </c:barChart>
      <c:catAx>
        <c:axId val="156997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999040"/>
        <c:crosses val="autoZero"/>
        <c:auto val="1"/>
        <c:lblAlgn val="ctr"/>
        <c:lblOffset val="100"/>
      </c:catAx>
      <c:valAx>
        <c:axId val="156999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997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FB52-18A6-4CF9-BB30-81EE9918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19</Pages>
  <Words>6095</Words>
  <Characters>34748</Characters>
  <Application>Microsoft Office Word</Application>
  <DocSecurity>0</DocSecurity>
  <Lines>289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Test</cp:lastModifiedBy>
  <cp:revision>114</cp:revision>
  <cp:lastPrinted>2016-01-28T13:13:00Z</cp:lastPrinted>
  <dcterms:created xsi:type="dcterms:W3CDTF">2014-02-25T13:07:00Z</dcterms:created>
  <dcterms:modified xsi:type="dcterms:W3CDTF">2016-01-28T13:13:00Z</dcterms:modified>
</cp:coreProperties>
</file>